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亳州市公交出租有限责任公司150辆出租车</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采购项目</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（项目编号：BZJK-2018-0</w:t>
      </w:r>
      <w:r>
        <w:rPr>
          <w:rFonts w:hint="eastAsia" w:ascii="方正小标宋简体" w:hAnsi="方正小标宋简体" w:eastAsia="方正小标宋简体" w:cs="方正小标宋简体"/>
          <w:sz w:val="32"/>
          <w:szCs w:val="32"/>
          <w:lang w:val="en-US" w:eastAsia="zh-CN"/>
        </w:rPr>
        <w:t>42</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采购人</w:t>
      </w:r>
      <w:r>
        <w:rPr>
          <w:rFonts w:hint="eastAsia" w:ascii="方正小标宋简体" w:hAnsi="方正小标宋简体" w:eastAsia="方正小标宋简体" w:cs="方正小标宋简体"/>
          <w:sz w:val="32"/>
          <w:szCs w:val="32"/>
          <w:lang w:eastAsia="zh-CN"/>
        </w:rPr>
        <w:t>：亳州市公交出租有限责任公司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default" w:ascii="方正小标宋简体" w:hAnsi="方正小标宋简体" w:eastAsia="方正小标宋简体" w:cs="方正小标宋简体"/>
          <w:sz w:val="32"/>
          <w:szCs w:val="32"/>
          <w:lang w:val="en-US"/>
        </w:rPr>
        <w:t>2</w:t>
      </w:r>
      <w:r>
        <w:rPr>
          <w:rFonts w:hint="eastAsia" w:ascii="方正小标宋简体" w:hAnsi="方正小标宋简体" w:eastAsia="方正小标宋简体" w:cs="方正小标宋简体"/>
          <w:sz w:val="32"/>
          <w:szCs w:val="32"/>
        </w:rPr>
        <w:t xml:space="preserve">月 </w:t>
      </w:r>
      <w:r>
        <w:rPr>
          <w:rFonts w:hint="default" w:ascii="方正小标宋简体" w:hAnsi="方正小标宋简体" w:eastAsia="方正小标宋简体" w:cs="方正小标宋简体"/>
          <w:sz w:val="32"/>
          <w:szCs w:val="32"/>
          <w:lang w:val="en-US" w:eastAsia="zh-CN"/>
        </w:rPr>
        <w:t>14</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rPr>
        <w:t>采购需求</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第五章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pStyle w:val="3"/>
        <w:pageBreakBefore w:val="0"/>
        <w:widowControl w:val="0"/>
        <w:kinsoku/>
        <w:wordWrap/>
        <w:overflowPunct/>
        <w:topLinePunct w:val="0"/>
        <w:autoSpaceDE/>
        <w:autoSpaceDN/>
        <w:bidi w:val="0"/>
        <w:spacing w:line="560" w:lineRule="exact"/>
        <w:jc w:val="center"/>
        <w:textAlignment w:val="auto"/>
        <w:rPr>
          <w:rFonts w:hint="eastAsia" w:ascii="黑体" w:hAnsi="黑体" w:eastAsia="黑体" w:cs="黑体"/>
          <w:b w:val="0"/>
          <w:kern w:val="2"/>
          <w:sz w:val="32"/>
          <w:szCs w:val="32"/>
          <w:lang w:val="en-US" w:eastAsia="zh-CN" w:bidi="ar-SA"/>
        </w:rPr>
      </w:pPr>
      <w:r>
        <w:rPr>
          <w:rFonts w:hint="eastAsia" w:ascii="黑体" w:hAnsi="黑体" w:eastAsia="黑体" w:cs="黑体"/>
          <w:b w:val="0"/>
          <w:bCs/>
        </w:rPr>
        <w:t xml:space="preserve">第一章    </w:t>
      </w:r>
      <w:r>
        <w:rPr>
          <w:rFonts w:hint="eastAsia" w:ascii="黑体" w:hAnsi="黑体" w:eastAsia="黑体" w:cs="黑体"/>
          <w:b w:val="0"/>
          <w:kern w:val="2"/>
          <w:sz w:val="32"/>
          <w:szCs w:val="32"/>
          <w:lang w:val="en-US" w:eastAsia="zh-CN" w:bidi="ar-SA"/>
        </w:rPr>
        <w:t>亳州市公交出租有限责任公司150辆出租车</w:t>
      </w:r>
    </w:p>
    <w:p>
      <w:pPr>
        <w:pageBreakBefore w:val="0"/>
        <w:widowControl w:val="0"/>
        <w:kinsoku/>
        <w:wordWrap/>
        <w:overflowPunct/>
        <w:topLinePunct w:val="0"/>
        <w:autoSpaceDE/>
        <w:autoSpaceDN/>
        <w:bidi w:val="0"/>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采购项目</w:t>
      </w:r>
      <w:r>
        <w:rPr>
          <w:rFonts w:hint="eastAsia" w:ascii="黑体" w:hAnsi="黑体" w:eastAsia="黑体" w:cs="黑体"/>
          <w:sz w:val="32"/>
          <w:szCs w:val="32"/>
        </w:rPr>
        <w:t>招标公告</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BZJK-2018-0</w:t>
      </w:r>
      <w:r>
        <w:rPr>
          <w:rFonts w:hint="eastAsia" w:ascii="仿宋_GB2312" w:hAnsi="仿宋_GB2312" w:eastAsia="仿宋_GB2312" w:cs="仿宋_GB2312"/>
          <w:sz w:val="32"/>
          <w:szCs w:val="32"/>
          <w:u w:val="single"/>
          <w:lang w:val="en-US" w:eastAsia="zh-CN"/>
        </w:rPr>
        <w:t>42</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1、项目名称:亳州市公交出租有限责任公司150辆出租车采购项目</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2、采购人:亳州市公交出租有限责任公司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二、采购内容</w:t>
      </w:r>
      <w:r>
        <w:rPr>
          <w:rFonts w:hint="eastAsia" w:ascii="黑体" w:hAnsi="黑体" w:eastAsia="黑体" w:cs="黑体"/>
          <w:sz w:val="32"/>
          <w:szCs w:val="32"/>
          <w:lang w:eastAsia="zh-CN"/>
        </w:rPr>
        <w:t>与预算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1、采购内容:亳州市公交出租有限责任公司采购</w:t>
      </w:r>
      <w:r>
        <w:rPr>
          <w:rFonts w:hint="eastAsia" w:ascii="仿宋_GB2312" w:hAnsi="仿宋_GB2312" w:eastAsia="仿宋_GB2312" w:cs="仿宋_GB2312"/>
          <w:sz w:val="32"/>
          <w:szCs w:val="32"/>
          <w:u w:val="none"/>
        </w:rPr>
        <w:t>150</w:t>
      </w:r>
      <w:r>
        <w:rPr>
          <w:rFonts w:hint="eastAsia" w:ascii="仿宋_GB2312" w:hAnsi="仿宋_GB2312" w:eastAsia="仿宋_GB2312" w:cs="仿宋_GB2312"/>
          <w:sz w:val="32"/>
          <w:szCs w:val="32"/>
        </w:rPr>
        <w:t>辆出租车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2、采购预算:</w:t>
      </w:r>
      <w:r>
        <w:rPr>
          <w:rFonts w:hint="eastAsia" w:ascii="仿宋_GB2312" w:hAnsi="仿宋_GB2312" w:eastAsia="仿宋_GB2312" w:cs="仿宋_GB2312"/>
          <w:sz w:val="32"/>
          <w:szCs w:val="32"/>
          <w:u w:val="single"/>
          <w:lang w:val="en-US" w:eastAsia="zh-CN"/>
        </w:rPr>
        <w:t>1050</w:t>
      </w:r>
      <w:r>
        <w:rPr>
          <w:rFonts w:hint="eastAsia" w:ascii="仿宋_GB2312" w:hAnsi="仿宋_GB2312" w:eastAsia="仿宋_GB2312" w:cs="仿宋_GB2312"/>
          <w:sz w:val="32"/>
          <w:szCs w:val="32"/>
          <w:lang w:val="en-US" w:eastAsia="zh-CN"/>
        </w:rPr>
        <w:t>万</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单车控制价</w:t>
      </w:r>
      <w:r>
        <w:rPr>
          <w:rFonts w:hint="eastAsia" w:ascii="仿宋_GB2312" w:hAnsi="仿宋_GB2312" w:eastAsia="仿宋_GB2312" w:cs="仿宋_GB2312"/>
          <w:sz w:val="32"/>
          <w:szCs w:val="32"/>
          <w:u w:val="single"/>
          <w:lang w:val="en-US" w:eastAsia="zh-CN"/>
        </w:rPr>
        <w:t>7</w:t>
      </w:r>
      <w:r>
        <w:rPr>
          <w:rFonts w:hint="eastAsia" w:ascii="仿宋_GB2312" w:hAnsi="仿宋_GB2312" w:eastAsia="仿宋_GB2312" w:cs="仿宋_GB2312"/>
          <w:sz w:val="32"/>
          <w:szCs w:val="32"/>
          <w:lang w:val="en-US" w:eastAsia="zh-CN"/>
        </w:rPr>
        <w:t>万元，总控制价</w:t>
      </w:r>
      <w:r>
        <w:rPr>
          <w:rFonts w:hint="eastAsia" w:ascii="仿宋_GB2312" w:hAnsi="仿宋_GB2312" w:eastAsia="仿宋_GB2312" w:cs="仿宋_GB2312"/>
          <w:sz w:val="32"/>
          <w:szCs w:val="32"/>
          <w:u w:val="single"/>
          <w:lang w:val="en-US" w:eastAsia="zh-CN"/>
        </w:rPr>
        <w:t>1050</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1、投标人资格条件：</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符合《政府采购法》第22条相关规定：</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numPr>
          <w:ilvl w:val="0"/>
          <w:numId w:val="0"/>
        </w:numPr>
        <w:spacing w:line="360" w:lineRule="auto"/>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(5)参加政府采购活动前三年内，在经营活动中没有重</w:t>
      </w:r>
    </w:p>
    <w:p>
      <w:pPr>
        <w:numPr>
          <w:ilvl w:val="0"/>
          <w:numId w:val="0"/>
        </w:numPr>
        <w:spacing w:line="360" w:lineRule="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大违法记录。</w:t>
      </w:r>
    </w:p>
    <w:p>
      <w:pPr>
        <w:numPr>
          <w:ilvl w:val="0"/>
          <w:numId w:val="0"/>
        </w:num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2、本次招标</w:t>
      </w:r>
      <w:r>
        <w:rPr>
          <w:rFonts w:hint="eastAsia" w:ascii="仿宋_GB2312" w:hAnsi="仿宋_GB2312" w:eastAsia="仿宋_GB2312" w:cs="仿宋_GB2312"/>
          <w:color w:val="FF0000"/>
          <w:sz w:val="32"/>
          <w:szCs w:val="32"/>
          <w:u w:val="single"/>
        </w:rPr>
        <w:t>不接受</w:t>
      </w:r>
      <w:r>
        <w:rPr>
          <w:rFonts w:hint="eastAsia" w:ascii="仿宋_GB2312" w:hAnsi="仿宋_GB2312" w:eastAsia="仿宋_GB2312" w:cs="仿宋_GB2312"/>
          <w:sz w:val="32"/>
          <w:szCs w:val="32"/>
        </w:rPr>
        <w:t>联合体投标。</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四、招标文件的获取</w:t>
      </w:r>
    </w:p>
    <w:p>
      <w:pPr>
        <w:pageBreakBefore w:val="0"/>
        <w:widowControl w:val="0"/>
        <w:kinsoku/>
        <w:wordWrap/>
        <w:overflowPunct/>
        <w:topLinePunct w:val="0"/>
        <w:autoSpaceDE/>
        <w:autoSpaceDN/>
        <w:bidi w:val="0"/>
        <w:spacing w:line="56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1、报名时间：</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：00时止（北京时间）。投标人须仔细阅读“投标人资格要求”，谨慎报名。</w:t>
      </w:r>
    </w:p>
    <w:p>
      <w:pPr>
        <w:pageBreakBefore w:val="0"/>
        <w:widowControl w:val="0"/>
        <w:kinsoku/>
        <w:wordWrap/>
        <w:overflowPunct/>
        <w:topLinePunct w:val="0"/>
        <w:autoSpaceDE/>
        <w:autoSpaceDN/>
        <w:bidi w:val="0"/>
        <w:spacing w:line="56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2、报名方式：请潜在供应商于报名时间内到</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r>
        <w:rPr>
          <w:rFonts w:hint="eastAsia" w:ascii="仿宋_GB2312" w:hAnsi="仿宋_GB2312" w:eastAsia="仿宋_GB2312" w:cs="仿宋_GB2312"/>
          <w:sz w:val="32"/>
          <w:szCs w:val="32"/>
        </w:rPr>
        <w:t>，以电话通知</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方式确认报名。</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rPr>
        <w:t>五、投标文件的递交及开标</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时，投标人应在投标截止时间前把投标文件递交到指定地点。</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4、开标时间及地点同投标文件截止时间及投标文件递交地点。</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rPr>
        <w:t>六、投标担保</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snapToGrid w:val="0"/>
          <w:color w:val="FF0000"/>
          <w:spacing w:val="-4"/>
          <w:kern w:val="0"/>
          <w:sz w:val="32"/>
          <w:szCs w:val="32"/>
          <w:u w:val="single"/>
          <w:lang w:val="en-US" w:eastAsia="zh-CN"/>
        </w:rPr>
        <w:t>2</w:t>
      </w:r>
      <w:r>
        <w:rPr>
          <w:rFonts w:hint="eastAsia" w:ascii="仿宋_GB2312" w:hAnsi="仿宋_GB2312" w:eastAsia="仿宋_GB2312" w:cs="仿宋_GB2312"/>
          <w:snapToGrid w:val="0"/>
          <w:color w:val="FF0000"/>
          <w:spacing w:val="-4"/>
          <w:kern w:val="0"/>
          <w:sz w:val="32"/>
          <w:szCs w:val="32"/>
          <w:u w:val="single"/>
        </w:rPr>
        <w:t>0</w:t>
      </w:r>
      <w:r>
        <w:rPr>
          <w:rFonts w:hint="eastAsia" w:ascii="仿宋_GB2312" w:hAnsi="仿宋_GB2312" w:eastAsia="仿宋_GB2312" w:cs="仿宋_GB2312"/>
          <w:snapToGrid w:val="0"/>
          <w:color w:val="FF0000"/>
          <w:spacing w:val="-4"/>
          <w:kern w:val="0"/>
          <w:sz w:val="32"/>
          <w:szCs w:val="32"/>
          <w:u w:val="single"/>
          <w:lang w:eastAsia="zh-CN"/>
        </w:rPr>
        <w:t>万</w:t>
      </w:r>
      <w:r>
        <w:rPr>
          <w:rFonts w:hint="eastAsia" w:ascii="仿宋_GB2312" w:hAnsi="仿宋_GB2312" w:eastAsia="仿宋_GB2312" w:cs="仿宋_GB2312"/>
          <w:snapToGrid w:val="0"/>
          <w:color w:val="FF0000"/>
          <w:spacing w:val="-4"/>
          <w:kern w:val="0"/>
          <w:sz w:val="32"/>
          <w:szCs w:val="32"/>
          <w:u w:val="single"/>
        </w:rPr>
        <w:t xml:space="preserve">元  </w:t>
      </w:r>
      <w:r>
        <w:rPr>
          <w:rFonts w:hint="eastAsia" w:ascii="仿宋_GB2312" w:hAnsi="仿宋_GB2312" w:eastAsia="仿宋_GB2312" w:cs="仿宋_GB2312"/>
          <w:color w:val="FF0000"/>
          <w:sz w:val="32"/>
          <w:szCs w:val="32"/>
        </w:rPr>
        <w:t>（人民币），缴纳方式详见招标文件。</w:t>
      </w:r>
    </w:p>
    <w:p>
      <w:pPr>
        <w:pageBreakBefore w:val="0"/>
        <w:widowControl w:val="0"/>
        <w:kinsoku/>
        <w:wordWrap/>
        <w:overflowPunct/>
        <w:topLinePunct w:val="0"/>
        <w:autoSpaceDE/>
        <w:autoSpaceDN/>
        <w:bidi w:val="0"/>
        <w:adjustRightInd w:val="0"/>
        <w:snapToGrid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rPr>
        <w:t>七、招标公告发布媒介</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rPr>
        <w:t>八、联系方式</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 标 人：亳州市公交出租有限责任公司</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尹总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15551589868；</w:t>
      </w:r>
      <w:r>
        <w:rPr>
          <w:rFonts w:hint="eastAsia" w:ascii="仿宋_GB2312" w:hAnsi="仿宋_GB2312" w:eastAsia="仿宋_GB2312" w:cs="仿宋_GB2312"/>
          <w:sz w:val="32"/>
          <w:szCs w:val="32"/>
        </w:rPr>
        <w:t>0558-5196756</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亳州市公交出租有限责任公司</w:t>
      </w:r>
    </w:p>
    <w:p>
      <w:pPr>
        <w:pageBreakBefore w:val="0"/>
        <w:widowControl w:val="0"/>
        <w:kinsoku/>
        <w:wordWrap/>
        <w:overflowPunct/>
        <w:topLinePunct w:val="0"/>
        <w:autoSpaceDE/>
        <w:autoSpaceDN/>
        <w:bidi w:val="0"/>
        <w:spacing w:line="560" w:lineRule="exact"/>
        <w:ind w:firstLine="5760" w:firstLineChars="18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bookmarkStart w:id="0" w:name="Sheet1"/>
      <w:bookmarkEnd w:id="0"/>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spacing w:line="400" w:lineRule="exact"/>
        <w:ind w:left="7228" w:hanging="7228" w:hangingChars="2250"/>
        <w:jc w:val="center"/>
        <w:rPr>
          <w:rFonts w:hint="eastAsia" w:ascii="Arial" w:hAnsi="Arial" w:eastAsia="黑体"/>
          <w:b/>
          <w:sz w:val="32"/>
          <w:szCs w:val="20"/>
        </w:rPr>
      </w:pPr>
    </w:p>
    <w:p>
      <w:pPr>
        <w:keepNext w:val="0"/>
        <w:keepLines w:val="0"/>
        <w:pageBreakBefore w:val="0"/>
        <w:kinsoku/>
        <w:wordWrap/>
        <w:overflowPunct/>
        <w:bidi w:val="0"/>
        <w:spacing w:line="560" w:lineRule="exact"/>
        <w:ind w:left="7228" w:hanging="7228" w:hangingChars="2250"/>
        <w:jc w:val="center"/>
        <w:rPr>
          <w:rFonts w:hint="eastAsia" w:ascii="Arial" w:hAnsi="Arial" w:eastAsia="黑体"/>
          <w:b/>
          <w:sz w:val="32"/>
          <w:szCs w:val="20"/>
        </w:rPr>
      </w:pPr>
    </w:p>
    <w:p>
      <w:pPr>
        <w:keepNext w:val="0"/>
        <w:keepLines w:val="0"/>
        <w:pageBreakBefore w:val="0"/>
        <w:kinsoku/>
        <w:wordWrap/>
        <w:overflowPunct/>
        <w:bidi w:val="0"/>
        <w:spacing w:line="560" w:lineRule="exact"/>
        <w:ind w:left="7228" w:hanging="7228" w:hangingChars="2250"/>
        <w:jc w:val="center"/>
        <w:rPr>
          <w:sz w:val="24"/>
        </w:rPr>
      </w:pPr>
      <w:r>
        <w:rPr>
          <w:rFonts w:hint="eastAsia" w:ascii="Arial" w:hAnsi="Arial" w:eastAsia="黑体"/>
          <w:b/>
          <w:sz w:val="32"/>
          <w:szCs w:val="20"/>
        </w:rPr>
        <w:t>第二章</w:t>
      </w:r>
      <w:r>
        <w:rPr>
          <w:rFonts w:ascii="Arial" w:hAnsi="Arial" w:eastAsia="黑体"/>
          <w:b/>
          <w:sz w:val="32"/>
          <w:szCs w:val="20"/>
        </w:rPr>
        <w:t xml:space="preserve">    </w:t>
      </w:r>
      <w:r>
        <w:rPr>
          <w:rFonts w:hint="eastAsia" w:ascii="Arial" w:hAnsi="Arial" w:eastAsia="黑体"/>
          <w:b/>
          <w:sz w:val="32"/>
          <w:szCs w:val="20"/>
        </w:rPr>
        <w:t>投标人须知</w:t>
      </w:r>
    </w:p>
    <w:p>
      <w:pPr>
        <w:keepNext w:val="0"/>
        <w:keepLines w:val="0"/>
        <w:pageBreakBefore w:val="0"/>
        <w:kinsoku/>
        <w:wordWrap/>
        <w:overflowPunct/>
        <w:bidi w:val="0"/>
        <w:spacing w:line="560" w:lineRule="exact"/>
        <w:jc w:val="center"/>
        <w:rPr>
          <w:b/>
          <w:sz w:val="32"/>
          <w:szCs w:val="32"/>
        </w:rPr>
      </w:pPr>
      <w:r>
        <w:rPr>
          <w:rFonts w:hint="eastAsia"/>
          <w:b/>
          <w:sz w:val="32"/>
          <w:szCs w:val="32"/>
        </w:rPr>
        <w:t>投标人须知附表</w:t>
      </w:r>
    </w:p>
    <w:tbl>
      <w:tblPr>
        <w:tblStyle w:val="2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2103"/>
        <w:gridCol w:w="6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序号</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2" w:firstLineChars="200"/>
              <w:jc w:val="left"/>
              <w:rPr>
                <w:rFonts w:hint="eastAsia" w:ascii="宋体" w:hAnsi="宋体"/>
                <w:sz w:val="24"/>
                <w:szCs w:val="24"/>
              </w:rPr>
            </w:pPr>
            <w:r>
              <w:rPr>
                <w:rFonts w:hint="eastAsia" w:ascii="宋体" w:hAnsi="宋体" w:cs="宋体"/>
                <w:b/>
                <w:sz w:val="24"/>
                <w:szCs w:val="24"/>
              </w:rPr>
              <w:t>条款名称</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sz w:val="24"/>
                <w:szCs w:val="24"/>
              </w:rPr>
            </w:pPr>
            <w:r>
              <w:rPr>
                <w:rFonts w:hint="eastAsia" w:ascii="宋体" w:hAnsi="宋体"/>
                <w:sz w:val="24"/>
                <w:szCs w:val="24"/>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项目名称</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rPr>
                <w:rFonts w:ascii="宋体" w:hAnsi="宋体"/>
                <w:b/>
                <w:sz w:val="24"/>
                <w:szCs w:val="24"/>
              </w:rPr>
            </w:pPr>
            <w:r>
              <w:rPr>
                <w:rFonts w:hint="eastAsia" w:ascii="宋体" w:hAnsi="宋体"/>
                <w:sz w:val="24"/>
                <w:szCs w:val="24"/>
              </w:rPr>
              <w:t>亳州市公交出租有限责任公司150辆出租车采购项目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项目预算</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b/>
                <w:sz w:val="24"/>
                <w:szCs w:val="24"/>
              </w:rPr>
            </w:pPr>
            <w:r>
              <w:rPr>
                <w:rFonts w:hint="eastAsia" w:ascii="宋体" w:hAnsi="宋体"/>
                <w:sz w:val="24"/>
                <w:szCs w:val="24"/>
                <w:lang w:val="en-US" w:eastAsia="zh-CN"/>
              </w:rPr>
              <w:t>1050万</w:t>
            </w:r>
            <w:r>
              <w:rPr>
                <w:rFonts w:hint="eastAsia" w:ascii="宋体" w:hAnsi="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项目概况、介绍</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宋体" w:hAnsi="宋体" w:eastAsia="宋体" w:cs="宋体"/>
                <w:b w:val="0"/>
                <w:bCs w:val="0"/>
                <w:sz w:val="24"/>
                <w:szCs w:val="24"/>
                <w:lang w:val="en-US" w:eastAsia="zh-CN"/>
              </w:rPr>
            </w:pPr>
            <w:r>
              <w:rPr>
                <w:rFonts w:hint="eastAsia" w:asciiTheme="minorEastAsia" w:hAnsiTheme="minorEastAsia" w:cstheme="minorEastAsia"/>
                <w:sz w:val="24"/>
                <w:szCs w:val="24"/>
                <w:lang w:val="en-US" w:eastAsia="zh-CN"/>
              </w:rPr>
              <w:t>亳州市公交出租有限责任公司</w:t>
            </w:r>
            <w:r>
              <w:rPr>
                <w:rFonts w:hint="eastAsia" w:ascii="宋体" w:hAnsi="宋体" w:eastAsia="宋体" w:cs="宋体"/>
                <w:b w:val="0"/>
                <w:bCs w:val="0"/>
                <w:sz w:val="24"/>
                <w:szCs w:val="24"/>
                <w:lang w:val="en-US" w:eastAsia="zh-CN"/>
              </w:rPr>
              <w:t>购置150辆出租车</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ascii="宋体" w:hAnsi="宋体" w:cs="宋体"/>
                <w:sz w:val="24"/>
                <w:szCs w:val="24"/>
              </w:rPr>
            </w:pPr>
            <w:r>
              <w:rPr>
                <w:rFonts w:hint="eastAsia" w:ascii="宋体" w:hAnsi="宋体"/>
                <w:sz w:val="24"/>
                <w:szCs w:val="24"/>
              </w:rPr>
              <w:t>（采购详细技术参数见文件）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项目联系人</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eastAsia="zh-CN"/>
              </w:rPr>
            </w:pPr>
            <w:r>
              <w:rPr>
                <w:rFonts w:hint="eastAsia" w:ascii="宋体" w:hAnsi="宋体" w:cs="宋体"/>
                <w:sz w:val="24"/>
                <w:szCs w:val="24"/>
              </w:rPr>
              <w:t>联系人姓名：</w:t>
            </w:r>
            <w:r>
              <w:rPr>
                <w:rFonts w:hint="eastAsia" w:ascii="宋体" w:hAnsi="宋体" w:cs="宋体"/>
                <w:sz w:val="24"/>
                <w:szCs w:val="24"/>
                <w:lang w:eastAsia="zh-CN"/>
              </w:rPr>
              <w:t>尹总</w:t>
            </w:r>
            <w:r>
              <w:rPr>
                <w:rFonts w:hint="eastAsia" w:ascii="宋体" w:hAnsi="宋体" w:cs="宋体"/>
                <w:sz w:val="24"/>
                <w:szCs w:val="24"/>
                <w:lang w:val="en-US" w:eastAsia="zh-CN"/>
              </w:rPr>
              <w:t xml:space="preserve"> </w:t>
            </w:r>
            <w:r>
              <w:rPr>
                <w:rFonts w:hint="eastAsia" w:ascii="宋体" w:hAnsi="宋体" w:cs="宋体"/>
                <w:sz w:val="24"/>
                <w:szCs w:val="24"/>
                <w:lang w:eastAsia="zh-CN"/>
              </w:rPr>
              <w:t>田工</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eastAsia="zh-CN"/>
              </w:rPr>
              <w:t>联系方式（手机）：</w:t>
            </w:r>
            <w:r>
              <w:rPr>
                <w:rFonts w:hint="eastAsia" w:ascii="宋体" w:hAnsi="宋体" w:cs="宋体"/>
                <w:sz w:val="24"/>
                <w:szCs w:val="24"/>
                <w:lang w:val="en-US" w:eastAsia="zh-CN"/>
              </w:rPr>
              <w:t>15551589868</w:t>
            </w:r>
            <w:bookmarkStart w:id="35" w:name="_GoBack"/>
            <w:bookmarkEnd w:id="35"/>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联系方式（固话）：</w:t>
            </w:r>
            <w:r>
              <w:rPr>
                <w:rFonts w:ascii="宋体" w:hAnsi="宋体" w:cs="宋体"/>
                <w:sz w:val="24"/>
                <w:szCs w:val="24"/>
              </w:rPr>
              <w:t>0558-5196756</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采购单位地址：亳州市谯城区药都大道1289号（药都大道与希夷大道交叉口东北角9楼）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采购方式</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b/>
                <w:sz w:val="24"/>
                <w:szCs w:val="24"/>
              </w:rPr>
            </w:pPr>
            <w:r>
              <w:rPr>
                <w:rFonts w:ascii="宋体" w:hAnsi="宋体"/>
                <w:b/>
                <w:sz w:val="24"/>
                <w:szCs w:val="24"/>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b/>
                <w:sz w:val="24"/>
                <w:szCs w:val="24"/>
              </w:rPr>
              <w:t>项目是否分包及分包预算</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b/>
                <w:bCs/>
                <w:sz w:val="24"/>
                <w:szCs w:val="24"/>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供应商资格要求</w:t>
            </w:r>
          </w:p>
        </w:tc>
        <w:tc>
          <w:tcPr>
            <w:tcW w:w="6369"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rPr>
                <w:rFonts w:hint="eastAsia" w:ascii="宋体" w:hAnsi="宋体" w:cs="宋体"/>
                <w:b/>
                <w:bCs/>
                <w:kern w:val="0"/>
                <w:sz w:val="24"/>
                <w:szCs w:val="24"/>
              </w:rPr>
            </w:pPr>
            <w:bookmarkStart w:id="1" w:name="OLE_LINK4"/>
            <w:r>
              <w:rPr>
                <w:rFonts w:hint="eastAsia" w:ascii="宋体" w:hAnsi="宋体" w:cs="宋体"/>
                <w:b/>
                <w:bCs/>
                <w:kern w:val="0"/>
                <w:sz w:val="24"/>
                <w:szCs w:val="24"/>
              </w:rPr>
              <w:t>资格要求：</w:t>
            </w:r>
          </w:p>
          <w:p>
            <w:pPr>
              <w:numPr>
                <w:ilvl w:val="0"/>
                <w:numId w:val="0"/>
              </w:numPr>
              <w:spacing w:line="360" w:lineRule="auto"/>
              <w:rPr>
                <w:rFonts w:hint="eastAsia" w:ascii="宋体" w:hAnsi="宋体" w:cs="宋体"/>
                <w:sz w:val="24"/>
                <w:szCs w:val="24"/>
                <w:lang w:val="en-US" w:eastAsia="zh-CN"/>
              </w:rPr>
            </w:pPr>
            <w:r>
              <w:rPr>
                <w:rFonts w:hint="eastAsia" w:ascii="宋体" w:hAnsi="宋体" w:cs="宋体"/>
                <w:sz w:val="24"/>
                <w:szCs w:val="24"/>
                <w:lang w:val="en-US" w:eastAsia="zh-CN"/>
              </w:rPr>
              <w:t>符合《政府采购法》第22条相关规定：</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(1)具有独立承担民事责任的能力；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(2)具有良好的商业信誉和健全的财务会计制度；</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(3)具有履行合同所必需的设备和专业技术能力；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(4)有依法缴纳税收和社会保障资金的良好记录；</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(5)参加政府采购活动前三年内，在经营活动中没有重</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lang w:val="en-US" w:eastAsia="zh-CN"/>
              </w:rPr>
              <w:t>大违法记录。</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产品及服务证明文件</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所投产品需提供相关证明材料.</w:t>
            </w:r>
            <w:r>
              <w:rPr>
                <w:rFonts w:ascii="宋体" w:hAnsi="宋体"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招标中的核心（主要）产品</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sz w:val="24"/>
                <w:szCs w:val="24"/>
              </w:rPr>
              <w:t>150辆出租车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10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eastAsia="zh-CN"/>
              </w:rPr>
            </w:pPr>
            <w:r>
              <w:rPr>
                <w:rFonts w:hint="eastAsia" w:ascii="宋体" w:hAnsi="宋体" w:cs="宋体"/>
                <w:b/>
                <w:sz w:val="24"/>
                <w:szCs w:val="24"/>
                <w:lang w:eastAsia="zh-CN"/>
              </w:rPr>
              <w:t>发动机型式及排量</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lang w:val="en-US"/>
              </w:rPr>
            </w:pPr>
            <w:r>
              <w:rPr>
                <w:rFonts w:hint="eastAsia" w:ascii="宋体" w:hAnsi="宋体" w:eastAsia="宋体" w:cs="宋体"/>
                <w:i w:val="0"/>
                <w:color w:val="000000"/>
                <w:kern w:val="0"/>
                <w:sz w:val="24"/>
                <w:szCs w:val="24"/>
                <w:u w:val="none"/>
                <w:lang w:val="en-US" w:eastAsia="zh-CN" w:bidi="ar"/>
              </w:rPr>
              <w:t>EA211直列四缸16气阀电控燃油喷射</w:t>
            </w:r>
            <w:r>
              <w:rPr>
                <w:rFonts w:hint="eastAsia" w:ascii="宋体" w:hAnsi="宋体" w:cs="宋体"/>
                <w:i w:val="0"/>
                <w:color w:val="000000"/>
                <w:kern w:val="0"/>
                <w:sz w:val="24"/>
                <w:szCs w:val="24"/>
                <w:u w:val="none"/>
                <w:lang w:val="en-US" w:eastAsia="zh-CN" w:bidi="ar"/>
              </w:rPr>
              <w:t>，排量</w:t>
            </w:r>
            <w:r>
              <w:rPr>
                <w:rFonts w:hint="eastAsia" w:ascii="宋体" w:hAnsi="宋体" w:eastAsia="宋体" w:cs="宋体"/>
                <w:b w:val="0"/>
                <w:bCs/>
                <w:i w:val="0"/>
                <w:color w:val="000000"/>
                <w:kern w:val="0"/>
                <w:sz w:val="24"/>
                <w:szCs w:val="24"/>
                <w:u w:val="none"/>
                <w:lang w:val="en-US" w:eastAsia="zh-CN" w:bidi="ar"/>
              </w:rPr>
              <w:t>1.498L</w:t>
            </w:r>
            <w:r>
              <w:rPr>
                <w:rFonts w:hint="eastAsia" w:ascii="宋体" w:hAnsi="宋体" w:cs="宋体"/>
                <w:i w:val="0"/>
                <w:color w:val="000000"/>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中标要求</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b/>
                <w:bCs/>
                <w:sz w:val="24"/>
                <w:szCs w:val="24"/>
              </w:rPr>
            </w:pPr>
            <w:r>
              <w:rPr>
                <w:rFonts w:hint="eastAsia" w:ascii="宋体" w:hAnsi="宋体"/>
                <w:b/>
                <w:bCs/>
                <w:sz w:val="24"/>
                <w:szCs w:val="24"/>
              </w:rPr>
              <w:t>中标单位如果在</w:t>
            </w:r>
            <w:r>
              <w:rPr>
                <w:rFonts w:hint="eastAsia" w:ascii="宋体" w:hAnsi="宋体"/>
                <w:b/>
                <w:bCs/>
                <w:sz w:val="24"/>
                <w:szCs w:val="24"/>
                <w:lang w:eastAsia="zh-CN"/>
              </w:rPr>
              <w:t>车辆验收</w:t>
            </w:r>
            <w:r>
              <w:rPr>
                <w:rFonts w:hint="eastAsia" w:ascii="宋体" w:hAnsi="宋体"/>
                <w:b/>
                <w:bCs/>
                <w:sz w:val="24"/>
                <w:szCs w:val="24"/>
              </w:rPr>
              <w:t>过程中不能满足</w:t>
            </w:r>
            <w:r>
              <w:rPr>
                <w:rFonts w:hint="eastAsia" w:ascii="宋体" w:hAnsi="宋体"/>
                <w:b/>
                <w:bCs/>
                <w:sz w:val="24"/>
                <w:szCs w:val="24"/>
                <w:lang w:eastAsia="zh-CN"/>
              </w:rPr>
              <w:t>采购人技术及质量要求</w:t>
            </w:r>
            <w:r>
              <w:rPr>
                <w:rFonts w:hint="eastAsia" w:ascii="宋体" w:hAnsi="宋体"/>
                <w:b/>
                <w:bCs/>
                <w:sz w:val="24"/>
                <w:szCs w:val="24"/>
              </w:rPr>
              <w:t>，将取消中标资格（此过程中产生的任何费用由中标人自行承担，招标人概不负责），由第二名中标候选人中标。如果还不能满足要求，中标单位顺延第三名候选人为中标单位。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合同格式</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1</w:t>
            </w:r>
            <w:r>
              <w:rPr>
                <w:rFonts w:ascii="宋体" w:hAnsi="宋体" w:cs="宋体"/>
                <w:b/>
                <w:bCs/>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包装、运输、安装、调试</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负责承担，最终通过用户及有关部门验收交付使用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sz w:val="24"/>
                <w:szCs w:val="24"/>
              </w:rPr>
              <w:t>商检、计量费用</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付款方式</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b/>
                <w:bCs/>
                <w:kern w:val="0"/>
                <w:sz w:val="24"/>
                <w:szCs w:val="24"/>
                <w:lang w:eastAsia="zh-CN" w:bidi="ar"/>
              </w:rPr>
            </w:pPr>
            <w:r>
              <w:rPr>
                <w:rFonts w:hint="eastAsia" w:ascii="宋体" w:hAnsi="宋体" w:cs="宋体"/>
                <w:sz w:val="24"/>
                <w:szCs w:val="24"/>
                <w:lang w:eastAsia="zh-CN"/>
              </w:rPr>
              <w:t>全部车辆验收合格后付首付款，一年半之内付清余款。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sz w:val="24"/>
                <w:szCs w:val="24"/>
              </w:rPr>
            </w:pPr>
            <w:r>
              <w:rPr>
                <w:rFonts w:hint="eastAsia" w:ascii="宋体" w:hAnsi="宋体" w:cs="宋体"/>
                <w:b/>
                <w:sz w:val="24"/>
                <w:szCs w:val="24"/>
              </w:rPr>
              <w:t>投标保证金</w:t>
            </w:r>
          </w:p>
        </w:tc>
        <w:tc>
          <w:tcPr>
            <w:tcW w:w="6369" w:type="dxa"/>
            <w:tcBorders>
              <w:top w:val="single" w:color="auto" w:sz="4" w:space="0"/>
              <w:left w:val="single" w:color="auto" w:sz="4" w:space="0"/>
              <w:bottom w:val="single" w:color="auto" w:sz="4" w:space="0"/>
              <w:right w:val="single" w:color="auto" w:sz="4" w:space="0"/>
            </w:tcBorders>
            <w:vAlign w:val="center"/>
          </w:tcPr>
          <w:p>
            <w:pPr>
              <w:pStyle w:val="12"/>
              <w:keepNext w:val="0"/>
              <w:keepLines w:val="0"/>
              <w:pageBreakBefore w:val="0"/>
              <w:kinsoku/>
              <w:wordWrap/>
              <w:overflowPunct/>
              <w:topLinePunct/>
              <w:bidi w:val="0"/>
              <w:spacing w:line="560" w:lineRule="exact"/>
              <w:rPr>
                <w:rFonts w:ascii="Times New Roman"/>
                <w:b/>
                <w:sz w:val="24"/>
                <w:szCs w:val="24"/>
              </w:rPr>
            </w:pPr>
            <w:r>
              <w:rPr>
                <w:rFonts w:hint="eastAsia" w:ascii="Times New Roman"/>
                <w:b/>
                <w:sz w:val="24"/>
                <w:szCs w:val="24"/>
              </w:rPr>
              <w:t>本项目投标保证金：</w:t>
            </w:r>
            <w:r>
              <w:rPr>
                <w:rFonts w:ascii="Times New Roman"/>
                <w:b/>
                <w:sz w:val="24"/>
                <w:szCs w:val="24"/>
                <w:u w:val="single"/>
              </w:rPr>
              <w:t xml:space="preserve"> </w:t>
            </w:r>
            <w:r>
              <w:rPr>
                <w:rFonts w:hint="eastAsia" w:ascii="Times New Roman"/>
                <w:b/>
                <w:sz w:val="24"/>
                <w:szCs w:val="24"/>
                <w:u w:val="single"/>
                <w:lang w:val="en-US" w:eastAsia="zh-CN"/>
              </w:rPr>
              <w:t>2</w:t>
            </w:r>
            <w:r>
              <w:rPr>
                <w:rFonts w:ascii="Times New Roman"/>
                <w:b/>
                <w:sz w:val="24"/>
                <w:szCs w:val="24"/>
                <w:u w:val="single"/>
              </w:rPr>
              <w:t>0</w:t>
            </w:r>
            <w:r>
              <w:rPr>
                <w:rFonts w:hint="eastAsia" w:ascii="Times New Roman"/>
                <w:b/>
                <w:sz w:val="24"/>
                <w:szCs w:val="24"/>
                <w:u w:val="single"/>
                <w:lang w:eastAsia="zh-CN"/>
              </w:rPr>
              <w:t>万</w:t>
            </w:r>
            <w:r>
              <w:rPr>
                <w:rFonts w:hint="eastAsia" w:ascii="Times New Roman"/>
                <w:b/>
                <w:sz w:val="24"/>
                <w:szCs w:val="24"/>
                <w:u w:val="single"/>
              </w:rPr>
              <w:t>元</w:t>
            </w:r>
            <w:r>
              <w:rPr>
                <w:rFonts w:ascii="Times New Roman"/>
                <w:b/>
                <w:sz w:val="24"/>
                <w:szCs w:val="24"/>
                <w:u w:val="single"/>
              </w:rPr>
              <w:t xml:space="preserve">  </w:t>
            </w:r>
            <w:r>
              <w:rPr>
                <w:rFonts w:hint="eastAsia" w:ascii="Times New Roman"/>
                <w:b/>
                <w:sz w:val="24"/>
                <w:szCs w:val="24"/>
              </w:rPr>
              <w:t>（人民币）</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投标保证金的形式：银行汇款或转账</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收取投标保证金账号信息：</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 xml:space="preserve">户名：亳州市公交出租有限责任公司 </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账号：2000</w:t>
            </w:r>
            <w:r>
              <w:rPr>
                <w:rFonts w:hint="eastAsia" w:ascii="Times New Roman"/>
                <w:sz w:val="24"/>
                <w:szCs w:val="24"/>
                <w:lang w:val="en-US" w:eastAsia="zh-CN"/>
              </w:rPr>
              <w:t xml:space="preserve"> </w:t>
            </w:r>
            <w:r>
              <w:rPr>
                <w:rFonts w:hint="eastAsia" w:ascii="Times New Roman"/>
                <w:sz w:val="24"/>
                <w:szCs w:val="24"/>
              </w:rPr>
              <w:t>0384</w:t>
            </w:r>
            <w:r>
              <w:rPr>
                <w:rFonts w:hint="eastAsia" w:ascii="Times New Roman"/>
                <w:sz w:val="24"/>
                <w:szCs w:val="24"/>
                <w:lang w:val="en-US" w:eastAsia="zh-CN"/>
              </w:rPr>
              <w:t xml:space="preserve"> </w:t>
            </w:r>
            <w:r>
              <w:rPr>
                <w:rFonts w:hint="eastAsia" w:ascii="Times New Roman"/>
                <w:sz w:val="24"/>
                <w:szCs w:val="24"/>
              </w:rPr>
              <w:t>4546</w:t>
            </w:r>
            <w:r>
              <w:rPr>
                <w:rFonts w:hint="eastAsia" w:ascii="Times New Roman"/>
                <w:sz w:val="24"/>
                <w:szCs w:val="24"/>
                <w:lang w:val="en-US" w:eastAsia="zh-CN"/>
              </w:rPr>
              <w:t xml:space="preserve"> </w:t>
            </w:r>
            <w:r>
              <w:rPr>
                <w:rFonts w:hint="eastAsia" w:ascii="Times New Roman"/>
                <w:sz w:val="24"/>
                <w:szCs w:val="24"/>
              </w:rPr>
              <w:t>1030</w:t>
            </w:r>
            <w:r>
              <w:rPr>
                <w:rFonts w:hint="eastAsia" w:ascii="Times New Roman"/>
                <w:sz w:val="24"/>
                <w:szCs w:val="24"/>
                <w:lang w:val="en-US" w:eastAsia="zh-CN"/>
              </w:rPr>
              <w:t xml:space="preserve"> </w:t>
            </w:r>
            <w:r>
              <w:rPr>
                <w:rFonts w:hint="eastAsia" w:ascii="Times New Roman"/>
                <w:sz w:val="24"/>
                <w:szCs w:val="24"/>
              </w:rPr>
              <w:t>0000</w:t>
            </w:r>
            <w:r>
              <w:rPr>
                <w:rFonts w:hint="eastAsia" w:ascii="Times New Roman"/>
                <w:sz w:val="24"/>
                <w:szCs w:val="24"/>
                <w:lang w:val="en-US" w:eastAsia="zh-CN"/>
              </w:rPr>
              <w:t xml:space="preserve"> </w:t>
            </w:r>
            <w:r>
              <w:rPr>
                <w:rFonts w:hint="eastAsia" w:ascii="Times New Roman"/>
                <w:sz w:val="24"/>
                <w:szCs w:val="24"/>
              </w:rPr>
              <w:t>018</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开户行：药都银行营业部</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其他要求：</w:t>
            </w:r>
          </w:p>
          <w:p>
            <w:pPr>
              <w:keepNext w:val="0"/>
              <w:keepLines w:val="0"/>
              <w:pageBreakBefore w:val="0"/>
              <w:kinsoku/>
              <w:wordWrap/>
              <w:overflowPunct/>
              <w:bidi w:val="0"/>
              <w:spacing w:line="560" w:lineRule="exact"/>
              <w:ind w:firstLine="480" w:firstLineChars="200"/>
              <w:rPr>
                <w:rFonts w:ascii="Times New Roman"/>
                <w:sz w:val="24"/>
                <w:szCs w:val="24"/>
              </w:rPr>
            </w:pPr>
            <w:r>
              <w:rPr>
                <w:rFonts w:ascii="Times New Roman"/>
                <w:sz w:val="24"/>
                <w:szCs w:val="24"/>
              </w:rPr>
              <w:t>投标保证金必须在投标截止时间前，由投标人在中华人民共和国境内注册经营的银行基本账户汇入到指定银行账号，确保银行记录可查询，转账或电汇时须在附言处备注“BZJK</w:t>
            </w:r>
            <w:r>
              <w:rPr>
                <w:rFonts w:hint="eastAsia" w:ascii="Times New Roman"/>
                <w:sz w:val="24"/>
                <w:szCs w:val="24"/>
              </w:rPr>
              <w:t>-</w:t>
            </w:r>
            <w:r>
              <w:rPr>
                <w:rFonts w:ascii="Times New Roman"/>
                <w:sz w:val="24"/>
                <w:szCs w:val="24"/>
              </w:rPr>
              <w:t>2018</w:t>
            </w:r>
            <w:r>
              <w:rPr>
                <w:rFonts w:hint="eastAsia" w:ascii="Times New Roman"/>
                <w:sz w:val="24"/>
                <w:szCs w:val="24"/>
              </w:rPr>
              <w:t>-</w:t>
            </w:r>
            <w:r>
              <w:rPr>
                <w:rFonts w:ascii="Times New Roman"/>
                <w:sz w:val="24"/>
                <w:szCs w:val="24"/>
              </w:rPr>
              <w:t>0</w:t>
            </w:r>
            <w:r>
              <w:rPr>
                <w:rFonts w:hint="eastAsia" w:ascii="Times New Roman"/>
                <w:sz w:val="24"/>
                <w:szCs w:val="24"/>
                <w:lang w:val="en-US" w:eastAsia="zh-CN"/>
              </w:rPr>
              <w:t>42</w:t>
            </w:r>
            <w:r>
              <w:rPr>
                <w:rFonts w:hint="eastAsia" w:ascii="Times New Roman"/>
                <w:sz w:val="24"/>
                <w:szCs w:val="24"/>
              </w:rPr>
              <w:t>号</w:t>
            </w:r>
            <w:r>
              <w:rPr>
                <w:rFonts w:ascii="Times New Roman"/>
                <w:sz w:val="24"/>
                <w:szCs w:val="24"/>
              </w:rPr>
              <w:t xml:space="preserve">保证金”，否则，责任自负。 </w:t>
            </w:r>
          </w:p>
          <w:p>
            <w:pPr>
              <w:keepNext w:val="0"/>
              <w:keepLines w:val="0"/>
              <w:pageBreakBefore w:val="0"/>
              <w:tabs>
                <w:tab w:val="left" w:pos="924"/>
                <w:tab w:val="left" w:pos="1008"/>
              </w:tabs>
              <w:kinsoku/>
              <w:wordWrap/>
              <w:overflowPunct/>
              <w:bidi w:val="0"/>
              <w:spacing w:line="560" w:lineRule="exact"/>
              <w:ind w:firstLine="470" w:firstLineChars="196"/>
              <w:rPr>
                <w:rFonts w:ascii="Times New Roman"/>
                <w:sz w:val="24"/>
                <w:szCs w:val="24"/>
              </w:rPr>
            </w:pPr>
            <w:r>
              <w:rPr>
                <w:rFonts w:ascii="Times New Roman"/>
                <w:sz w:val="24"/>
                <w:szCs w:val="24"/>
              </w:rPr>
              <w:t>投标保证金以到账时间为准，未按时汇入或非投标人基本账户汇出或收款银行账号错误无法判定保证金对应关系的，保证金无效；现金存入或其他方式存入（转入）的视为无效。</w:t>
            </w:r>
            <w:r>
              <w:rPr>
                <w:rFonts w:hint="eastAsia" w:ascii="Times New Roman"/>
                <w:sz w:val="24"/>
                <w:szCs w:val="24"/>
                <w:lang w:val="en-US" w:eastAsia="zh-CN"/>
              </w:rPr>
              <w:t>招标人应当在书面合同签订后5日内向未中标人退还保证金（无息）。中标人</w:t>
            </w:r>
            <w:r>
              <w:rPr>
                <w:rFonts w:hint="eastAsia" w:ascii="Times New Roman"/>
                <w:sz w:val="24"/>
                <w:szCs w:val="24"/>
                <w:lang w:eastAsia="zh-CN"/>
              </w:rPr>
              <w:t>投标保证金转为履约保证金，不足部分，由中标人补交。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1</w:t>
            </w:r>
            <w:r>
              <w:rPr>
                <w:rFonts w:hint="eastAsia" w:ascii="宋体" w:hAnsi="宋体" w:cs="宋体"/>
                <w:b/>
                <w:bCs/>
                <w:sz w:val="24"/>
                <w:szCs w:val="24"/>
                <w:lang w:val="en-US" w:eastAsia="zh-CN"/>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资金来源是否落实</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b/>
                <w:bCs/>
                <w:kern w:val="0"/>
                <w:sz w:val="24"/>
                <w:szCs w:val="24"/>
                <w:lang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交货及安装地点</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19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交货及提供安装等服务时间要求</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lang w:val="en-US" w:eastAsia="zh-CN"/>
              </w:rPr>
              <w:t>合同签订后</w:t>
            </w:r>
            <w:r>
              <w:rPr>
                <w:rFonts w:hint="default" w:ascii="宋体" w:hAnsi="宋体" w:cs="宋体"/>
                <w:sz w:val="24"/>
                <w:szCs w:val="24"/>
                <w:lang w:val="en-US" w:eastAsia="zh-CN"/>
              </w:rPr>
              <w:t>15</w:t>
            </w:r>
            <w:r>
              <w:rPr>
                <w:rFonts w:hint="eastAsia" w:ascii="宋体" w:hAnsi="宋体" w:cs="宋体"/>
                <w:sz w:val="24"/>
                <w:szCs w:val="24"/>
                <w:lang w:val="en-US" w:eastAsia="zh-CN"/>
              </w:rPr>
              <w:t>个工作日内安装、调试完毕，且具备验收使用条件。特殊情况由供需双方协商确定。设备由供应商负责安装、调试。安装、调试过程中</w:t>
            </w:r>
            <w:r>
              <w:rPr>
                <w:rFonts w:hint="eastAsia" w:ascii="宋体" w:hAnsi="宋体" w:cs="宋体"/>
                <w:sz w:val="24"/>
                <w:szCs w:val="24"/>
                <w:lang w:eastAsia="zh-CN"/>
              </w:rPr>
              <w:t>所产</w:t>
            </w:r>
            <w:r>
              <w:rPr>
                <w:rFonts w:hint="eastAsia" w:ascii="宋体" w:hAnsi="宋体" w:cs="宋体"/>
                <w:sz w:val="24"/>
                <w:szCs w:val="24"/>
                <w:lang w:val="en-US" w:eastAsia="zh-CN"/>
              </w:rPr>
              <w:t>生的费用由供应商负担。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20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bCs/>
                <w:sz w:val="24"/>
                <w:szCs w:val="24"/>
              </w:rPr>
            </w:pPr>
            <w:r>
              <w:rPr>
                <w:rFonts w:hint="eastAsia" w:ascii="宋体" w:hAnsi="宋体" w:cs="宋体"/>
                <w:b/>
                <w:sz w:val="24"/>
                <w:szCs w:val="24"/>
                <w:lang w:val="en-US" w:eastAsia="zh-CN"/>
              </w:rPr>
              <w:t>本地化服务要求</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outlineLvl w:val="9"/>
              <w:rPr>
                <w:rFonts w:hint="eastAsia" w:ascii="宋体" w:hAnsi="宋体" w:cs="宋体"/>
                <w:sz w:val="24"/>
                <w:szCs w:val="24"/>
              </w:rPr>
            </w:pPr>
            <w:r>
              <w:rPr>
                <w:rFonts w:hint="eastAsia" w:ascii="宋体" w:hAnsi="宋体" w:cs="宋体"/>
                <w:sz w:val="24"/>
                <w:szCs w:val="24"/>
                <w:lang w:val="en-US" w:eastAsia="zh-CN"/>
              </w:rPr>
              <w:t>所供车辆在亳州市区已设立4S店，中标后授权亳州公交维修有限责任公司为维修点。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ascii="宋体" w:hAnsi="宋体" w:cs="宋体"/>
                <w:b/>
                <w:bCs/>
                <w:sz w:val="24"/>
                <w:szCs w:val="24"/>
              </w:rPr>
              <w:t>21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验收程序</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出厂检验、到货检验、安装调试检验、配套设备及服务检验。出厂检验由制造商及成交供应商负责，其余由采购人组织验收，必要时可以委托质检部门（</w:t>
            </w:r>
            <w:r>
              <w:rPr>
                <w:rFonts w:hint="eastAsia" w:ascii="宋体" w:hAnsi="宋体" w:cs="宋体"/>
                <w:kern w:val="0"/>
                <w:sz w:val="24"/>
                <w:szCs w:val="24"/>
                <w:lang w:bidi="ar"/>
              </w:rPr>
              <w:t>或第三方专业机构）</w:t>
            </w:r>
            <w:r>
              <w:rPr>
                <w:rFonts w:hint="eastAsia" w:ascii="宋体" w:hAnsi="宋体" w:cs="宋体"/>
                <w:sz w:val="24"/>
                <w:szCs w:val="24"/>
              </w:rPr>
              <w:t>或有关业内专家进行验收。</w:t>
            </w:r>
          </w:p>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货物在验收时，成交供应商应提供产品相关的检测报告等技术性指导文件以及其他应由成交供应商提供的必要文件。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维保服务</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1、中标人应根据</w:t>
            </w:r>
            <w:r>
              <w:rPr>
                <w:rFonts w:hint="eastAsia" w:ascii="宋体" w:hAnsi="宋体" w:cs="宋体"/>
                <w:sz w:val="24"/>
                <w:szCs w:val="24"/>
                <w:lang w:eastAsia="zh-CN"/>
              </w:rPr>
              <w:t>车辆</w:t>
            </w:r>
            <w:r>
              <w:rPr>
                <w:rFonts w:hint="eastAsia" w:ascii="宋体" w:hAnsi="宋体" w:cs="宋体"/>
                <w:sz w:val="24"/>
                <w:szCs w:val="24"/>
              </w:rPr>
              <w:t>的运行状态，提供不同的技术支持，包括电话咨询服务、电话技术指导服务、现场支持服务。</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2、保修期内因质量问题应予以免费维修或更换。</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3、在保修期内，中标人应保证所提供</w:t>
            </w:r>
            <w:r>
              <w:rPr>
                <w:rFonts w:hint="eastAsia" w:ascii="宋体" w:hAnsi="宋体" w:cs="宋体"/>
                <w:sz w:val="24"/>
                <w:szCs w:val="24"/>
                <w:lang w:eastAsia="zh-CN"/>
              </w:rPr>
              <w:t>车辆</w:t>
            </w:r>
            <w:r>
              <w:rPr>
                <w:rFonts w:hint="eastAsia" w:ascii="宋体" w:hAnsi="宋体" w:cs="宋体"/>
                <w:sz w:val="24"/>
                <w:szCs w:val="24"/>
              </w:rPr>
              <w:t>无故障运行，如达不到要求，保修期应顺延，并且中标人应赔偿采购人相应经济损失。</w:t>
            </w:r>
          </w:p>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sz w:val="24"/>
                <w:szCs w:val="24"/>
                <w:lang w:val="en-US" w:eastAsia="zh-CN"/>
              </w:rPr>
            </w:pPr>
            <w:r>
              <w:rPr>
                <w:rFonts w:hint="eastAsia" w:ascii="宋体" w:hAnsi="宋体" w:cs="宋体"/>
                <w:sz w:val="24"/>
                <w:szCs w:val="24"/>
              </w:rPr>
              <w:t>4、对保修期内的维修服务，中标人应在接到通知后</w:t>
            </w:r>
            <w:r>
              <w:rPr>
                <w:rFonts w:ascii="宋体" w:hAnsi="宋体" w:cs="宋体"/>
                <w:sz w:val="24"/>
                <w:szCs w:val="24"/>
              </w:rPr>
              <w:t>12</w:t>
            </w:r>
            <w:r>
              <w:rPr>
                <w:rFonts w:hint="eastAsia" w:ascii="宋体" w:hAnsi="宋体" w:cs="宋体"/>
                <w:sz w:val="24"/>
                <w:szCs w:val="24"/>
              </w:rPr>
              <w:t>小时内到达现场无偿负责设备的调试</w:t>
            </w:r>
            <w:r>
              <w:rPr>
                <w:rFonts w:hint="eastAsia" w:ascii="宋体" w:hAnsi="宋体" w:cs="宋体"/>
                <w:sz w:val="24"/>
                <w:szCs w:val="24"/>
                <w:lang w:eastAsia="zh-CN"/>
              </w:rPr>
              <w:t>及维修。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售后服务</w:t>
            </w:r>
          </w:p>
        </w:tc>
        <w:tc>
          <w:tcPr>
            <w:tcW w:w="636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1、免费质保期：</w:t>
            </w:r>
            <w:r>
              <w:rPr>
                <w:rFonts w:hint="eastAsia" w:asciiTheme="minorEastAsia" w:hAnsiTheme="minorEastAsia" w:cstheme="minorEastAsia"/>
                <w:sz w:val="24"/>
                <w:szCs w:val="24"/>
                <w:lang w:val="en-US" w:eastAsia="zh-CN"/>
              </w:rPr>
              <w:t>按厂家规定质保</w:t>
            </w:r>
            <w:r>
              <w:rPr>
                <w:rFonts w:hint="eastAsia" w:ascii="宋体" w:hAnsi="宋体" w:cs="宋体"/>
                <w:sz w:val="24"/>
                <w:szCs w:val="24"/>
              </w:rPr>
              <w:t>；</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2、保修期以后要求能终身提供广泛优惠的技术支持和维修服务，中标人应做到在采购人发出维修通知后到现场进行设备维修，更换已损坏的零部件。采购人及中标人将对保修期外服务条款及费用的收取签署保修协议。</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3、投标人应在投标文件中声明其售后服务承诺内容、售后服务方式和能力。如因</w:t>
            </w:r>
            <w:r>
              <w:rPr>
                <w:rFonts w:hint="eastAsia" w:ascii="宋体" w:hAnsi="宋体" w:cs="宋体"/>
                <w:sz w:val="24"/>
                <w:szCs w:val="24"/>
                <w:lang w:eastAsia="zh-CN"/>
              </w:rPr>
              <w:t>车辆</w:t>
            </w:r>
            <w:r>
              <w:rPr>
                <w:rFonts w:hint="eastAsia" w:ascii="宋体" w:hAnsi="宋体" w:cs="宋体"/>
                <w:sz w:val="24"/>
                <w:szCs w:val="24"/>
              </w:rPr>
              <w:t>本身原因造成采购人经济损失，投标人应照价赔偿。</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4、投标人应在投标文件中声明能够提供的免费技术支持。</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5、用户手册：投标人应提供</w:t>
            </w:r>
            <w:r>
              <w:rPr>
                <w:rFonts w:hint="eastAsia" w:ascii="宋体" w:hAnsi="宋体" w:cs="宋体"/>
                <w:sz w:val="24"/>
                <w:szCs w:val="24"/>
                <w:lang w:eastAsia="zh-CN"/>
              </w:rPr>
              <w:t>车辆</w:t>
            </w:r>
            <w:r>
              <w:rPr>
                <w:rFonts w:hint="eastAsia" w:ascii="宋体" w:hAnsi="宋体" w:cs="宋体"/>
                <w:sz w:val="24"/>
                <w:szCs w:val="24"/>
              </w:rPr>
              <w:t>用户手册；</w:t>
            </w:r>
            <w:r>
              <w:rPr>
                <w:rFonts w:hint="eastAsia" w:ascii="宋体" w:hAnsi="宋体" w:cs="宋体"/>
                <w:sz w:val="24"/>
                <w:szCs w:val="24"/>
                <w:lang w:eastAsia="zh-CN"/>
              </w:rPr>
              <w:t>车辆</w:t>
            </w:r>
            <w:r>
              <w:rPr>
                <w:rFonts w:hint="eastAsia" w:ascii="宋体" w:hAnsi="宋体" w:cs="宋体"/>
                <w:sz w:val="24"/>
                <w:szCs w:val="24"/>
              </w:rPr>
              <w:t>维修手册等。</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、本采购项目是为采购人项目内容中所列的</w:t>
            </w:r>
            <w:r>
              <w:rPr>
                <w:rFonts w:hint="eastAsia" w:ascii="宋体" w:hAnsi="宋体" w:cs="宋体"/>
                <w:sz w:val="24"/>
                <w:szCs w:val="24"/>
                <w:lang w:eastAsia="zh-CN"/>
              </w:rPr>
              <w:t>车辆</w:t>
            </w:r>
            <w:r>
              <w:rPr>
                <w:rFonts w:hint="eastAsia" w:ascii="宋体" w:hAnsi="宋体" w:cs="宋体"/>
                <w:sz w:val="24"/>
                <w:szCs w:val="24"/>
              </w:rPr>
              <w:t>设备及相关服务，投标人必须严格按本招标文件要求提供成熟的全新的产品和强有力的技术支持。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2</w:t>
            </w:r>
            <w:r>
              <w:rPr>
                <w:rFonts w:ascii="宋体" w:hAnsi="宋体" w:cs="宋体"/>
                <w:b/>
                <w:bCs/>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是否要求成交供应商在签订合同前向采购人提交履约保证金</w:t>
            </w:r>
          </w:p>
        </w:tc>
        <w:tc>
          <w:tcPr>
            <w:tcW w:w="6369" w:type="dxa"/>
            <w:tcBorders>
              <w:top w:val="single" w:color="auto" w:sz="4" w:space="0"/>
              <w:left w:val="single" w:color="auto" w:sz="4" w:space="0"/>
              <w:bottom w:val="single" w:color="auto" w:sz="4" w:space="0"/>
              <w:right w:val="single" w:color="auto" w:sz="4" w:space="0"/>
            </w:tcBorders>
            <w:vAlign w:val="center"/>
          </w:tcPr>
          <w:p>
            <w:pPr>
              <w:pStyle w:val="16"/>
              <w:keepNext w:val="0"/>
              <w:keepLines w:val="0"/>
              <w:pageBreakBefore w:val="0"/>
              <w:kinsoku/>
              <w:wordWrap/>
              <w:overflowPunct/>
              <w:bidi w:val="0"/>
              <w:spacing w:line="560" w:lineRule="exact"/>
              <w:rPr>
                <w:rFonts w:hint="eastAsia" w:ascii="Times New Roman" w:hAnsi="Calibri" w:eastAsia="宋体" w:cs="Times New Roman"/>
                <w:kern w:val="2"/>
                <w:sz w:val="24"/>
                <w:szCs w:val="24"/>
                <w:lang w:val="en-US" w:eastAsia="zh-CN" w:bidi="ar-SA"/>
              </w:rPr>
            </w:pPr>
            <w:r>
              <w:rPr>
                <w:rFonts w:hint="eastAsia" w:ascii="Times New Roman" w:hAnsi="Calibri" w:eastAsia="宋体" w:cs="Times New Roman"/>
                <w:kern w:val="2"/>
                <w:sz w:val="24"/>
                <w:szCs w:val="24"/>
                <w:lang w:val="en-US" w:eastAsia="zh-CN" w:bidi="ar-SA"/>
              </w:rPr>
              <w:t>履约保证金：按中标</w:t>
            </w:r>
            <w:r>
              <w:rPr>
                <w:rFonts w:hint="eastAsia" w:ascii="Times New Roman" w:cs="Times New Roman"/>
                <w:kern w:val="2"/>
                <w:sz w:val="24"/>
                <w:szCs w:val="24"/>
                <w:lang w:val="en-US" w:eastAsia="zh-CN" w:bidi="ar-SA"/>
              </w:rPr>
              <w:t>合同总价</w:t>
            </w:r>
            <w:r>
              <w:rPr>
                <w:rFonts w:hint="eastAsia" w:ascii="Times New Roman" w:hAnsi="Calibri" w:eastAsia="宋体" w:cs="Times New Roman"/>
                <w:kern w:val="2"/>
                <w:sz w:val="24"/>
                <w:szCs w:val="24"/>
                <w:lang w:val="en-US" w:eastAsia="zh-CN" w:bidi="ar-SA"/>
              </w:rPr>
              <w:t>的5%提交</w:t>
            </w:r>
            <w:r>
              <w:rPr>
                <w:rFonts w:hint="eastAsia" w:ascii="Times New Roman" w:cs="Times New Roman"/>
                <w:kern w:val="2"/>
                <w:sz w:val="24"/>
                <w:szCs w:val="24"/>
                <w:lang w:val="en-US" w:eastAsia="zh-CN" w:bidi="ar-SA"/>
              </w:rPr>
              <w:t>（合同签订前提交）</w:t>
            </w:r>
          </w:p>
          <w:p>
            <w:pPr>
              <w:keepNext w:val="0"/>
              <w:keepLines w:val="0"/>
              <w:pageBreakBefore w:val="0"/>
              <w:kinsoku/>
              <w:wordWrap/>
              <w:overflowPunct/>
              <w:bidi w:val="0"/>
              <w:spacing w:line="560" w:lineRule="exact"/>
              <w:textAlignment w:val="center"/>
              <w:rPr>
                <w:rFonts w:ascii="Times New Roman"/>
                <w:sz w:val="24"/>
                <w:szCs w:val="24"/>
              </w:rPr>
            </w:pPr>
            <w:r>
              <w:rPr>
                <w:rFonts w:hint="eastAsia" w:ascii="Times New Roman"/>
                <w:sz w:val="24"/>
                <w:szCs w:val="24"/>
                <w:lang w:eastAsia="zh-CN"/>
              </w:rPr>
              <w:t>履约</w:t>
            </w:r>
            <w:r>
              <w:rPr>
                <w:rFonts w:ascii="Times New Roman"/>
                <w:sz w:val="24"/>
                <w:szCs w:val="24"/>
              </w:rPr>
              <w:t>保证金的形式：银行汇款或转账</w:t>
            </w:r>
          </w:p>
          <w:p>
            <w:pPr>
              <w:rPr>
                <w:rFonts w:ascii="Times New Roman"/>
                <w:sz w:val="24"/>
                <w:szCs w:val="24"/>
              </w:rPr>
            </w:pPr>
            <w:r>
              <w:rPr>
                <w:rFonts w:ascii="Times New Roman"/>
                <w:sz w:val="24"/>
                <w:szCs w:val="24"/>
              </w:rPr>
              <w:t>收取</w:t>
            </w:r>
            <w:r>
              <w:rPr>
                <w:rFonts w:hint="eastAsia" w:ascii="Times New Roman"/>
                <w:sz w:val="24"/>
                <w:szCs w:val="24"/>
                <w:lang w:eastAsia="zh-CN"/>
              </w:rPr>
              <w:t>履约保证金账号信息同</w:t>
            </w:r>
            <w:r>
              <w:rPr>
                <w:rFonts w:ascii="Times New Roman"/>
                <w:sz w:val="24"/>
                <w:szCs w:val="24"/>
              </w:rPr>
              <w:t>投标保证金账号信息</w:t>
            </w:r>
          </w:p>
          <w:p>
            <w:pPr>
              <w:rPr>
                <w:rFonts w:hint="eastAsia" w:ascii="Times New Roman" w:eastAsia="宋体"/>
                <w:sz w:val="24"/>
                <w:szCs w:val="24"/>
                <w:lang w:eastAsia="zh-CN"/>
              </w:rPr>
            </w:pPr>
            <w:r>
              <w:rPr>
                <w:rFonts w:hint="eastAsia" w:ascii="Times New Roman"/>
                <w:sz w:val="24"/>
                <w:szCs w:val="24"/>
                <w:lang w:eastAsia="zh-CN"/>
              </w:rPr>
              <w:t>履约保证金退还：全部车辆验收合格后，</w:t>
            </w:r>
            <w:r>
              <w:rPr>
                <w:rFonts w:hint="eastAsia" w:ascii="Times New Roman"/>
                <w:sz w:val="24"/>
                <w:szCs w:val="24"/>
                <w:lang w:val="en-US" w:eastAsia="zh-CN"/>
              </w:rPr>
              <w:t>20个工作日</w:t>
            </w:r>
            <w:r>
              <w:rPr>
                <w:rFonts w:hint="eastAsia" w:ascii="Times New Roman"/>
                <w:sz w:val="24"/>
                <w:szCs w:val="24"/>
                <w:lang w:eastAsia="zh-CN"/>
              </w:rPr>
              <w:t>内退还全部履约保证金（无息）。</w:t>
            </w:r>
          </w:p>
        </w:tc>
      </w:tr>
    </w:tbl>
    <w:p>
      <w:pPr>
        <w:keepNext w:val="0"/>
        <w:keepLines w:val="0"/>
        <w:pageBreakBefore w:val="0"/>
        <w:kinsoku/>
        <w:wordWrap/>
        <w:overflowPunct/>
        <w:bidi w:val="0"/>
        <w:adjustRightInd w:val="0"/>
        <w:snapToGrid w:val="0"/>
        <w:spacing w:line="560" w:lineRule="exact"/>
        <w:ind w:firstLine="480" w:firstLineChars="200"/>
        <w:rPr>
          <w:rFonts w:ascii="宋体" w:hAnsi="宋体"/>
          <w:snapToGrid w:val="0"/>
          <w:kern w:val="0"/>
          <w:sz w:val="24"/>
        </w:rPr>
      </w:pPr>
      <w:r>
        <w:rPr>
          <w:rFonts w:hint="eastAsia" w:ascii="宋体" w:hAnsi="宋体"/>
          <w:snapToGrid w:val="0"/>
          <w:kern w:val="0"/>
          <w:sz w:val="24"/>
          <w:highlight w:val="yellow"/>
        </w:rPr>
        <w:t>说明：招标文件相关内容与投标须知前附表不一致的，以投标须知前附表为准。</w:t>
      </w:r>
    </w:p>
    <w:p>
      <w:pPr>
        <w:keepNext w:val="0"/>
        <w:keepLines w:val="0"/>
        <w:pageBreakBefore w:val="0"/>
        <w:kinsoku/>
        <w:wordWrap/>
        <w:overflowPunct/>
        <w:bidi w:val="0"/>
        <w:adjustRightInd w:val="0"/>
        <w:snapToGrid w:val="0"/>
        <w:spacing w:line="560" w:lineRule="exact"/>
        <w:ind w:firstLine="602" w:firstLineChars="200"/>
        <w:rPr>
          <w:rFonts w:ascii="宋体" w:hAnsi="宋体"/>
          <w:b/>
          <w:sz w:val="30"/>
          <w:szCs w:val="30"/>
        </w:rPr>
        <w:sectPr>
          <w:pgSz w:w="11907" w:h="16840"/>
          <w:pgMar w:top="1191" w:right="1191" w:bottom="1191" w:left="1191" w:header="851" w:footer="851" w:gutter="0"/>
          <w:cols w:space="720" w:num="1"/>
        </w:sectPr>
      </w:pPr>
    </w:p>
    <w:p>
      <w:pPr>
        <w:pStyle w:val="3"/>
        <w:jc w:val="center"/>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7"/>
        <w:tblW w:w="10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66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缴纳社会保险的凭据（依法不需要缴纳社会保障资金的供应商应提供相应证明文件）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9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系统功能必须满足采购需求（详见 第四章 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9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2" w:firstLineChars="200"/>
        <w:rPr>
          <w:rFonts w:hint="eastAsia" w:ascii="宋体" w:hAnsi="宋体"/>
          <w:b/>
          <w:sz w:val="24"/>
          <w:szCs w:val="24"/>
        </w:rPr>
      </w:pPr>
    </w:p>
    <w:p>
      <w:pPr>
        <w:spacing w:line="360" w:lineRule="exact"/>
        <w:ind w:firstLine="482" w:firstLineChars="200"/>
        <w:rPr>
          <w:rFonts w:hint="eastAsia" w:ascii="宋体" w:hAnsi="宋体"/>
          <w:b/>
          <w:sz w:val="24"/>
          <w:szCs w:val="24"/>
        </w:rPr>
      </w:pPr>
    </w:p>
    <w:p>
      <w:pPr>
        <w:spacing w:line="360" w:lineRule="exact"/>
        <w:ind w:firstLine="482" w:firstLineChars="200"/>
        <w:rPr>
          <w:rFonts w:hint="eastAsia" w:ascii="宋体" w:hAnsi="宋体"/>
          <w:b/>
          <w:sz w:val="24"/>
          <w:szCs w:val="24"/>
        </w:rPr>
      </w:pPr>
    </w:p>
    <w:p>
      <w:pPr>
        <w:spacing w:line="360" w:lineRule="exact"/>
        <w:ind w:firstLine="482" w:firstLineChars="200"/>
        <w:rPr>
          <w:rFonts w:hint="eastAsia" w:ascii="宋体" w:hAnsi="宋体"/>
          <w:b/>
          <w:sz w:val="24"/>
          <w:szCs w:val="24"/>
        </w:rPr>
      </w:pPr>
    </w:p>
    <w:p>
      <w:pPr>
        <w:spacing w:line="360" w:lineRule="exact"/>
        <w:ind w:firstLine="482" w:firstLineChars="200"/>
        <w:rPr>
          <w:rFonts w:hint="eastAsia" w:ascii="宋体" w:hAnsi="宋体"/>
          <w:b/>
          <w:sz w:val="24"/>
          <w:szCs w:val="24"/>
        </w:rPr>
      </w:pPr>
    </w:p>
    <w:p>
      <w:pPr>
        <w:spacing w:line="360" w:lineRule="exact"/>
        <w:ind w:firstLine="482" w:firstLineChars="200"/>
        <w:rPr>
          <w:rFonts w:hint="eastAsia" w:ascii="宋体" w:hAnsi="宋体"/>
          <w:b/>
          <w:sz w:val="24"/>
          <w:szCs w:val="24"/>
        </w:rPr>
      </w:pPr>
    </w:p>
    <w:p>
      <w:pPr>
        <w:jc w:val="center"/>
        <w:rPr>
          <w:rFonts w:hint="eastAsia"/>
          <w:b/>
          <w:sz w:val="30"/>
          <w:szCs w:val="30"/>
        </w:rPr>
      </w:pPr>
    </w:p>
    <w:p>
      <w:pPr>
        <w:jc w:val="center"/>
        <w:rPr>
          <w:rFonts w:hint="eastAsia"/>
          <w:b/>
          <w:sz w:val="30"/>
          <w:szCs w:val="30"/>
        </w:rPr>
      </w:pPr>
      <w:r>
        <w:rPr>
          <w:rFonts w:hint="eastAsia"/>
          <w:b/>
          <w:sz w:val="30"/>
          <w:szCs w:val="30"/>
        </w:rPr>
        <w:t>投标文件技术和商务评审表</w:t>
      </w:r>
    </w:p>
    <w:p>
      <w:pPr>
        <w:spacing w:line="360" w:lineRule="exact"/>
        <w:ind w:firstLine="482" w:firstLineChars="200"/>
        <w:rPr>
          <w:rFonts w:ascii="宋体" w:hAnsi="宋体"/>
          <w:b/>
          <w:sz w:val="24"/>
          <w:szCs w:val="24"/>
        </w:rPr>
      </w:pPr>
      <w:r>
        <w:rPr>
          <w:rFonts w:hint="eastAsia" w:ascii="宋体" w:hAnsi="宋体"/>
          <w:b/>
          <w:sz w:val="24"/>
          <w:szCs w:val="24"/>
        </w:rPr>
        <w:t xml:space="preserve"> </w:t>
      </w:r>
    </w:p>
    <w:tbl>
      <w:tblPr>
        <w:tblStyle w:val="27"/>
        <w:tblW w:w="9547" w:type="dxa"/>
        <w:jc w:val="center"/>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756"/>
        <w:gridCol w:w="900"/>
        <w:gridCol w:w="689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1756" w:type="dxa"/>
            <w:noWrap w:val="0"/>
            <w:vAlign w:val="center"/>
          </w:tcPr>
          <w:p>
            <w:pPr>
              <w:pStyle w:val="61"/>
              <w:spacing w:line="360" w:lineRule="exact"/>
              <w:ind w:left="63" w:right="63"/>
              <w:rPr>
                <w:rFonts w:hint="eastAsia" w:ascii="宋体" w:hAnsi="宋体" w:eastAsia="宋体"/>
                <w:sz w:val="24"/>
                <w:szCs w:val="24"/>
              </w:rPr>
            </w:pPr>
            <w:r>
              <w:rPr>
                <w:rFonts w:hint="eastAsia" w:ascii="宋体" w:hAnsi="宋体" w:eastAsia="宋体"/>
                <w:sz w:val="24"/>
                <w:szCs w:val="24"/>
              </w:rPr>
              <w:t>评分项目</w:t>
            </w:r>
          </w:p>
        </w:tc>
        <w:tc>
          <w:tcPr>
            <w:tcW w:w="900" w:type="dxa"/>
            <w:noWrap w:val="0"/>
            <w:vAlign w:val="center"/>
          </w:tcPr>
          <w:p>
            <w:pPr>
              <w:pStyle w:val="61"/>
              <w:spacing w:line="360" w:lineRule="exact"/>
              <w:ind w:left="63" w:right="63"/>
              <w:rPr>
                <w:rFonts w:hint="eastAsia" w:ascii="宋体" w:hAnsi="宋体" w:eastAsia="宋体"/>
                <w:sz w:val="24"/>
                <w:szCs w:val="24"/>
              </w:rPr>
            </w:pPr>
            <w:r>
              <w:rPr>
                <w:rFonts w:hint="eastAsia" w:ascii="宋体" w:hAnsi="宋体" w:eastAsia="宋体"/>
                <w:sz w:val="24"/>
                <w:szCs w:val="24"/>
              </w:rPr>
              <w:t>分值</w:t>
            </w:r>
          </w:p>
        </w:tc>
        <w:tc>
          <w:tcPr>
            <w:tcW w:w="6891" w:type="dxa"/>
            <w:noWrap w:val="0"/>
            <w:vAlign w:val="center"/>
          </w:tcPr>
          <w:p>
            <w:pPr>
              <w:pStyle w:val="61"/>
              <w:spacing w:line="360" w:lineRule="exact"/>
              <w:ind w:left="63" w:right="63"/>
              <w:rPr>
                <w:rFonts w:hint="eastAsia" w:ascii="宋体" w:hAnsi="宋体" w:eastAsia="宋体"/>
                <w:sz w:val="24"/>
                <w:szCs w:val="24"/>
              </w:rPr>
            </w:pPr>
            <w:r>
              <w:rPr>
                <w:rFonts w:hint="eastAsia" w:ascii="宋体" w:hAnsi="宋体" w:eastAsia="宋体"/>
                <w:sz w:val="24"/>
                <w:szCs w:val="24"/>
              </w:rPr>
              <w:t>评分内容及标准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000" w:hRule="atLeast"/>
          <w:tblHeader/>
          <w:jc w:val="center"/>
        </w:trPr>
        <w:tc>
          <w:tcPr>
            <w:tcW w:w="1756" w:type="dxa"/>
            <w:noWrap w:val="0"/>
            <w:vAlign w:val="center"/>
          </w:tcPr>
          <w:p>
            <w:pPr>
              <w:pStyle w:val="8"/>
              <w:spacing w:line="360" w:lineRule="exact"/>
              <w:jc w:val="center"/>
              <w:rPr>
                <w:rFonts w:hint="eastAsia" w:ascii="宋体" w:hAnsi="宋体"/>
                <w:sz w:val="24"/>
                <w:szCs w:val="24"/>
              </w:rPr>
            </w:pPr>
            <w:r>
              <w:rPr>
                <w:rFonts w:hint="eastAsia" w:ascii="宋体" w:hAnsi="宋体" w:eastAsia="宋体" w:cs="宋体"/>
                <w:sz w:val="24"/>
                <w:szCs w:val="24"/>
                <w:lang w:eastAsia="zh-CN"/>
              </w:rPr>
              <w:t>符合条件的最低报价</w:t>
            </w:r>
          </w:p>
        </w:tc>
        <w:tc>
          <w:tcPr>
            <w:tcW w:w="900" w:type="dxa"/>
            <w:noWrap w:val="0"/>
            <w:vAlign w:val="center"/>
          </w:tcPr>
          <w:p>
            <w:pPr>
              <w:pStyle w:val="8"/>
              <w:spacing w:line="360" w:lineRule="exact"/>
              <w:jc w:val="center"/>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0分</w:t>
            </w:r>
          </w:p>
        </w:tc>
        <w:tc>
          <w:tcPr>
            <w:tcW w:w="6891"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eastAsia="zh-CN"/>
              </w:rPr>
              <w:t>符合条件的最低报价为基准价</w:t>
            </w:r>
            <w:r>
              <w:rPr>
                <w:rFonts w:hint="eastAsia" w:ascii="宋体" w:hAnsi="宋体" w:cs="宋体"/>
                <w:sz w:val="24"/>
                <w:szCs w:val="24"/>
                <w:lang w:eastAsia="zh-CN"/>
              </w:rPr>
              <w:t>，</w:t>
            </w:r>
            <w:r>
              <w:rPr>
                <w:rFonts w:hint="eastAsia" w:ascii="宋体" w:hAnsi="宋体" w:eastAsia="宋体" w:cs="宋体"/>
                <w:sz w:val="24"/>
                <w:szCs w:val="24"/>
                <w:lang w:val="en-US" w:eastAsia="zh-CN"/>
              </w:rPr>
              <w:t>每高于基准价1%扣1分；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kern w:val="0"/>
                <w:sz w:val="24"/>
                <w:szCs w:val="24"/>
              </w:rPr>
              <w:t>价格分=</w:t>
            </w:r>
            <w:r>
              <w:rPr>
                <w:rFonts w:hint="eastAsia" w:ascii="宋体" w:hAnsi="宋体"/>
                <w:kern w:val="0"/>
                <w:sz w:val="24"/>
                <w:szCs w:val="24"/>
                <w:lang w:val="en-US" w:eastAsia="zh-CN"/>
              </w:rPr>
              <w:t>80-</w:t>
            </w:r>
            <w:r>
              <w:rPr>
                <w:rFonts w:hint="eastAsia" w:ascii="宋体" w:hAnsi="宋体"/>
                <w:kern w:val="0"/>
                <w:sz w:val="24"/>
                <w:szCs w:val="24"/>
              </w:rPr>
              <w:t>(</w:t>
            </w:r>
            <w:r>
              <w:rPr>
                <w:rFonts w:hint="eastAsia" w:ascii="宋体" w:hAnsi="宋体"/>
                <w:kern w:val="0"/>
                <w:sz w:val="24"/>
                <w:szCs w:val="24"/>
                <w:lang w:eastAsia="zh-CN"/>
              </w:rPr>
              <w:t>投标报价</w:t>
            </w:r>
            <w:r>
              <w:rPr>
                <w:rFonts w:hint="eastAsia" w:ascii="宋体" w:hAnsi="宋体"/>
                <w:kern w:val="0"/>
                <w:sz w:val="24"/>
                <w:szCs w:val="24"/>
                <w:lang w:val="en-US" w:eastAsia="zh-CN"/>
              </w:rPr>
              <w:t>-最低报价</w:t>
            </w:r>
            <w:r>
              <w:rPr>
                <w:rFonts w:hint="eastAsia" w:ascii="宋体" w:hAnsi="宋体"/>
                <w:kern w:val="0"/>
                <w:sz w:val="24"/>
                <w:szCs w:val="24"/>
              </w:rPr>
              <w:t>)／</w:t>
            </w:r>
            <w:r>
              <w:rPr>
                <w:rFonts w:hint="eastAsia" w:ascii="宋体" w:hAnsi="宋体"/>
                <w:kern w:val="0"/>
                <w:sz w:val="24"/>
                <w:szCs w:val="24"/>
                <w:lang w:eastAsia="zh-CN"/>
              </w:rPr>
              <w:t>最低</w:t>
            </w:r>
            <w:r>
              <w:rPr>
                <w:rFonts w:hint="eastAsia" w:ascii="宋体" w:hAnsi="宋体"/>
                <w:kern w:val="0"/>
                <w:sz w:val="24"/>
                <w:szCs w:val="24"/>
              </w:rPr>
              <w:t>报价×</w:t>
            </w:r>
            <w:r>
              <w:rPr>
                <w:rFonts w:hint="eastAsia" w:ascii="宋体" w:hAnsi="宋体"/>
                <w:kern w:val="0"/>
                <w:sz w:val="24"/>
                <w:szCs w:val="24"/>
                <w:lang w:val="en-US" w:eastAsia="zh-CN"/>
              </w:rPr>
              <w:t>100%</w:t>
            </w:r>
            <w:r>
              <w:rPr>
                <w:rFonts w:hint="eastAsia" w:ascii="宋体" w:hAnsi="宋体"/>
                <w:kern w:val="0"/>
                <w:sz w:val="24"/>
                <w:szCs w:val="24"/>
              </w:rPr>
              <w:t>×</w:t>
            </w:r>
            <w:r>
              <w:rPr>
                <w:rFonts w:hint="eastAsia" w:ascii="宋体" w:hAnsi="宋体"/>
                <w:kern w:val="0"/>
                <w:sz w:val="24"/>
                <w:szCs w:val="24"/>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90" w:hRule="atLeast"/>
          <w:tblHeader/>
          <w:jc w:val="center"/>
        </w:trPr>
        <w:tc>
          <w:tcPr>
            <w:tcW w:w="1756" w:type="dxa"/>
            <w:noWrap w:val="0"/>
            <w:vAlign w:val="center"/>
          </w:tcPr>
          <w:p>
            <w:pPr>
              <w:pStyle w:val="8"/>
              <w:spacing w:line="360" w:lineRule="exact"/>
              <w:jc w:val="center"/>
              <w:rPr>
                <w:rFonts w:hint="eastAsia" w:ascii="宋体" w:hAnsi="宋体"/>
                <w:sz w:val="24"/>
                <w:szCs w:val="24"/>
              </w:rPr>
            </w:pPr>
            <w:r>
              <w:rPr>
                <w:rFonts w:hint="eastAsia" w:ascii="宋体" w:hAnsi="宋体" w:eastAsia="宋体" w:cs="宋体"/>
                <w:sz w:val="24"/>
                <w:szCs w:val="24"/>
                <w:lang w:val="en-US" w:eastAsia="zh-CN"/>
              </w:rPr>
              <w:t>首付比例（40%</w:t>
            </w:r>
            <w:r>
              <w:rPr>
                <w:rFonts w:hint="eastAsia" w:ascii="宋体" w:hAnsi="宋体" w:cs="宋体"/>
                <w:sz w:val="24"/>
                <w:szCs w:val="24"/>
                <w:lang w:val="en-US" w:eastAsia="zh-CN"/>
              </w:rPr>
              <w:t>及</w:t>
            </w:r>
            <w:r>
              <w:rPr>
                <w:rFonts w:hint="eastAsia" w:ascii="宋体" w:hAnsi="宋体" w:eastAsia="宋体" w:cs="宋体"/>
                <w:sz w:val="24"/>
                <w:szCs w:val="24"/>
                <w:lang w:val="en-US" w:eastAsia="zh-CN"/>
              </w:rPr>
              <w:t>以下）</w:t>
            </w:r>
          </w:p>
        </w:tc>
        <w:tc>
          <w:tcPr>
            <w:tcW w:w="900" w:type="dxa"/>
            <w:noWrap w:val="0"/>
            <w:vAlign w:val="center"/>
          </w:tcPr>
          <w:p>
            <w:pPr>
              <w:pStyle w:val="8"/>
              <w:spacing w:line="360" w:lineRule="exact"/>
              <w:jc w:val="center"/>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0</w:t>
            </w:r>
            <w:r>
              <w:rPr>
                <w:rFonts w:hint="eastAsia" w:ascii="宋体" w:hAnsi="宋体"/>
                <w:sz w:val="24"/>
                <w:szCs w:val="24"/>
              </w:rPr>
              <w:t>分</w:t>
            </w:r>
          </w:p>
        </w:tc>
        <w:tc>
          <w:tcPr>
            <w:tcW w:w="6891" w:type="dxa"/>
            <w:noWrap w:val="0"/>
            <w:vAlign w:val="top"/>
          </w:tcPr>
          <w:p>
            <w:pPr>
              <w:spacing w:line="360" w:lineRule="exact"/>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首付30%</w:t>
            </w:r>
            <w:r>
              <w:rPr>
                <w:rFonts w:hint="eastAsia" w:ascii="宋体" w:hAnsi="宋体" w:cs="宋体"/>
                <w:sz w:val="24"/>
                <w:szCs w:val="24"/>
                <w:lang w:val="en-US" w:eastAsia="zh-CN"/>
              </w:rPr>
              <w:t>及以下</w:t>
            </w:r>
            <w:r>
              <w:rPr>
                <w:rFonts w:hint="eastAsia" w:ascii="宋体" w:hAnsi="宋体" w:eastAsia="宋体" w:cs="宋体"/>
                <w:sz w:val="24"/>
                <w:szCs w:val="24"/>
                <w:lang w:val="en-US" w:eastAsia="zh-CN"/>
              </w:rPr>
              <w:t>得10分，每增加1%扣1分</w:t>
            </w:r>
            <w:r>
              <w:rPr>
                <w:rFonts w:hint="eastAsia" w:ascii="宋体" w:hAnsi="宋体" w:cs="宋体"/>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80" w:hRule="atLeast"/>
          <w:tblHeader/>
          <w:jc w:val="center"/>
        </w:trPr>
        <w:tc>
          <w:tcPr>
            <w:tcW w:w="1756" w:type="dxa"/>
            <w:noWrap w:val="0"/>
            <w:vAlign w:val="center"/>
          </w:tcPr>
          <w:p>
            <w:pPr>
              <w:pStyle w:val="8"/>
              <w:spacing w:line="360" w:lineRule="exact"/>
              <w:jc w:val="center"/>
              <w:rPr>
                <w:rFonts w:hint="eastAsia" w:ascii="宋体" w:hAnsi="宋体"/>
                <w:sz w:val="24"/>
                <w:szCs w:val="24"/>
              </w:rPr>
            </w:pP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金融政策</w:t>
            </w:r>
          </w:p>
        </w:tc>
        <w:tc>
          <w:tcPr>
            <w:tcW w:w="900" w:type="dxa"/>
            <w:noWrap w:val="0"/>
            <w:vAlign w:val="center"/>
          </w:tcPr>
          <w:p>
            <w:pPr>
              <w:pStyle w:val="8"/>
              <w:spacing w:line="360" w:lineRule="exact"/>
              <w:jc w:val="center"/>
              <w:rPr>
                <w:rFonts w:hint="eastAsia" w:ascii="宋体" w:hAnsi="宋体"/>
                <w:sz w:val="24"/>
                <w:szCs w:val="24"/>
              </w:rPr>
            </w:pPr>
            <w:r>
              <w:rPr>
                <w:rFonts w:hint="eastAsia" w:ascii="宋体" w:hAnsi="宋体"/>
                <w:sz w:val="24"/>
                <w:szCs w:val="24"/>
                <w:lang w:val="en-US" w:eastAsia="zh-CN"/>
              </w:rPr>
              <w:t>10</w:t>
            </w:r>
            <w:r>
              <w:rPr>
                <w:rFonts w:hint="eastAsia" w:ascii="宋体" w:hAnsi="宋体"/>
                <w:sz w:val="24"/>
                <w:szCs w:val="24"/>
              </w:rPr>
              <w:t>分</w:t>
            </w:r>
          </w:p>
        </w:tc>
        <w:tc>
          <w:tcPr>
            <w:tcW w:w="6891" w:type="dxa"/>
            <w:noWrap w:val="0"/>
            <w:vAlign w:val="top"/>
          </w:tcPr>
          <w:p>
            <w:pPr>
              <w:spacing w:line="360" w:lineRule="exact"/>
              <w:ind w:firstLine="480" w:firstLineChars="200"/>
              <w:rPr>
                <w:rFonts w:hint="eastAsia" w:ascii="宋体" w:hAnsi="宋体"/>
                <w:sz w:val="24"/>
                <w:szCs w:val="24"/>
              </w:rPr>
            </w:pPr>
            <w:r>
              <w:rPr>
                <w:rFonts w:hint="eastAsia" w:ascii="宋体" w:hAnsi="宋体"/>
                <w:sz w:val="24"/>
                <w:szCs w:val="24"/>
                <w:lang w:val="en-US" w:eastAsia="zh-CN"/>
              </w:rPr>
              <w:t>免息一年半得5分，免息二年得10分，且均不得另收手续费用和对车辆保险设限制性条件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16" w:hRule="atLeast"/>
          <w:tblHeader/>
          <w:jc w:val="center"/>
        </w:trPr>
        <w:tc>
          <w:tcPr>
            <w:tcW w:w="9547" w:type="dxa"/>
            <w:gridSpan w:val="3"/>
            <w:noWrap w:val="0"/>
            <w:vAlign w:val="center"/>
          </w:tcPr>
          <w:p>
            <w:pPr>
              <w:spacing w:line="360" w:lineRule="exact"/>
              <w:ind w:firstLine="480" w:firstLineChars="200"/>
              <w:rPr>
                <w:rFonts w:hint="eastAsia" w:ascii="宋体" w:hAnsi="宋体"/>
                <w:color w:val="1F497D"/>
                <w:sz w:val="24"/>
                <w:szCs w:val="24"/>
              </w:rPr>
            </w:pPr>
            <w:r>
              <w:rPr>
                <w:rFonts w:hint="eastAsia" w:ascii="宋体" w:hAnsi="宋体"/>
                <w:color w:val="1F497D"/>
                <w:sz w:val="24"/>
                <w:szCs w:val="24"/>
              </w:rPr>
              <w:t>注</w:t>
            </w:r>
            <w:r>
              <w:rPr>
                <w:rFonts w:hint="eastAsia" w:ascii="宋体" w:hAnsi="宋体"/>
                <w:color w:val="1F497D"/>
                <w:sz w:val="24"/>
                <w:szCs w:val="24"/>
                <w:lang w:eastAsia="zh-CN"/>
              </w:rPr>
              <w:t>：</w:t>
            </w:r>
            <w:r>
              <w:rPr>
                <w:rFonts w:hint="eastAsia" w:ascii="Times New Roman" w:hAnsi="宋体"/>
                <w:color w:val="1F497D"/>
                <w:sz w:val="24"/>
                <w:szCs w:val="24"/>
                <w:highlight w:val="yellow"/>
              </w:rPr>
              <w:t>技术和商务评审涉及的的相关证照、证明、证书、证件、合同等（非投标单位自身单独出具），原件的</w:t>
            </w:r>
            <w:r>
              <w:rPr>
                <w:rFonts w:hint="eastAsia" w:ascii="Times New Roman" w:hAnsi="宋体"/>
                <w:color w:val="1F497D"/>
                <w:sz w:val="24"/>
                <w:szCs w:val="24"/>
                <w:highlight w:val="yellow"/>
                <w:lang w:eastAsia="zh-CN"/>
              </w:rPr>
              <w:t>复印件</w:t>
            </w:r>
            <w:r>
              <w:rPr>
                <w:rFonts w:hint="eastAsia" w:ascii="Times New Roman" w:hAnsi="宋体"/>
                <w:color w:val="1F497D"/>
                <w:sz w:val="24"/>
                <w:szCs w:val="24"/>
                <w:highlight w:val="yellow"/>
              </w:rPr>
              <w:t>装入投标文件，否则不得分。原件中标后由采购人核验，如发现弄虚作假的，取消其中标资格。</w:t>
            </w:r>
          </w:p>
        </w:tc>
      </w:tr>
    </w:tbl>
    <w:p>
      <w:pPr>
        <w:spacing w:line="360" w:lineRule="exact"/>
        <w:ind w:firstLine="482" w:firstLineChars="200"/>
        <w:rPr>
          <w:rFonts w:hint="eastAsia" w:ascii="宋体" w:hAnsi="宋体"/>
          <w:b/>
          <w:sz w:val="24"/>
          <w:szCs w:val="24"/>
        </w:rPr>
      </w:pPr>
      <w:r>
        <w:rPr>
          <w:rFonts w:hint="eastAsia" w:ascii="宋体" w:hAnsi="宋体"/>
          <w:b/>
          <w:sz w:val="24"/>
          <w:szCs w:val="24"/>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评标总得分=F1 +F2 +F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（F1、F2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分别为各项评分因素的汇总得分）。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评标时，评标委员会各成员应当独立对每个有效投标人的标书进行评价、打分，然后汇总每个投标人每项评分因素的得分，按评审后得分由高到低顺序排列（1、2、3、…）。</w:t>
      </w:r>
    </w:p>
    <w:p>
      <w:pPr>
        <w:pStyle w:val="4"/>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评标办法</w:t>
      </w:r>
    </w:p>
    <w:p>
      <w:pPr>
        <w:pStyle w:val="4"/>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综合评分法（100分制）</w:t>
      </w:r>
      <w:r>
        <w:rPr>
          <w:rFonts w:hint="eastAsia" w:ascii="仿宋_GB2312" w:hAnsi="仿宋_GB2312" w:eastAsia="仿宋_GB2312" w:cs="仿宋_GB2312"/>
          <w:b w:val="0"/>
          <w:kern w:val="2"/>
          <w:sz w:val="32"/>
          <w:szCs w:val="32"/>
          <w:lang w:val="en-US" w:eastAsia="zh-CN" w:bidi="ar-SA"/>
        </w:rPr>
        <w:t>：</w:t>
      </w:r>
    </w:p>
    <w:p>
      <w:pPr>
        <w:pStyle w:val="4"/>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(1)符合条件的最低报价为基准价占80分：每高于基准价1%扣1分；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(2)首付比例（40%及以下）占10分：首付30%及以下得10分，每增加1%扣1分。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(3)金融政策占10分：免息一年半得5分，免息二年得10分，且均不得另收手续费用和对车辆保险设限制性条件。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(4)报价为车辆到公司交付时最终综合报价。</w:t>
      </w:r>
      <w:bookmarkStart w:id="2" w:name="_Toc296602478"/>
      <w:bookmarkStart w:id="3" w:name="_Toc247085748"/>
      <w:bookmarkStart w:id="4" w:name="_Toc152045590"/>
      <w:bookmarkStart w:id="5" w:name="_Toc246996976"/>
      <w:bookmarkStart w:id="6" w:name="_Toc179632608"/>
      <w:bookmarkStart w:id="7" w:name="_Toc246996233"/>
      <w:bookmarkStart w:id="8" w:name="_Toc152042367"/>
      <w:bookmarkStart w:id="9" w:name="_Toc144974557"/>
    </w:p>
    <w:p>
      <w:pPr>
        <w:pStyle w:val="4"/>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评审标准</w:t>
      </w:r>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10" w:name="_Toc296602479"/>
      <w:bookmarkStart w:id="11" w:name="_Toc247085749"/>
      <w:bookmarkStart w:id="12" w:name="_Toc246996977"/>
      <w:bookmarkStart w:id="13" w:name="_Toc246996234"/>
      <w:bookmarkStart w:id="14" w:name="_Toc179632609"/>
      <w:bookmarkStart w:id="15" w:name="_Toc152045591"/>
      <w:bookmarkStart w:id="16" w:name="_Toc152042368"/>
      <w:bookmarkStart w:id="17" w:name="_Toc144974558"/>
      <w:r>
        <w:rPr>
          <w:rFonts w:hint="eastAsia" w:ascii="仿宋_GB2312" w:hAnsi="仿宋_GB2312" w:eastAsia="仿宋_GB2312" w:cs="仿宋_GB2312"/>
          <w:b/>
          <w:sz w:val="32"/>
          <w:szCs w:val="32"/>
        </w:rPr>
        <w:t>评审标准</w:t>
      </w:r>
      <w:bookmarkEnd w:id="10"/>
      <w:bookmarkEnd w:id="11"/>
      <w:bookmarkEnd w:id="12"/>
      <w:bookmarkEnd w:id="13"/>
      <w:bookmarkEnd w:id="14"/>
      <w:bookmarkEnd w:id="15"/>
      <w:bookmarkEnd w:id="16"/>
      <w:bookmarkEnd w:id="17"/>
      <w:r>
        <w:rPr>
          <w:rFonts w:hint="eastAsia" w:ascii="仿宋_GB2312" w:hAnsi="仿宋_GB2312" w:eastAsia="仿宋_GB2312" w:cs="仿宋_GB2312"/>
          <w:b/>
          <w:sz w:val="32"/>
          <w:szCs w:val="32"/>
        </w:rPr>
        <w:t>见评标办法前附表。</w:t>
      </w:r>
      <w:bookmarkStart w:id="18" w:name="_Toc296602481"/>
      <w:bookmarkStart w:id="19" w:name="_Toc247085751"/>
      <w:bookmarkStart w:id="20" w:name="_Toc246996979"/>
      <w:bookmarkStart w:id="21" w:name="_Toc246996236"/>
      <w:bookmarkStart w:id="22" w:name="_Toc179632611"/>
      <w:bookmarkStart w:id="23" w:name="_Toc152045593"/>
      <w:bookmarkStart w:id="24" w:name="_Toc152042370"/>
      <w:bookmarkStart w:id="25" w:name="_Toc144974560"/>
    </w:p>
    <w:p>
      <w:pPr>
        <w:pStyle w:val="4"/>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评标</w:t>
      </w:r>
      <w:bookmarkEnd w:id="18"/>
      <w:bookmarkEnd w:id="19"/>
      <w:bookmarkEnd w:id="20"/>
      <w:bookmarkEnd w:id="21"/>
      <w:bookmarkEnd w:id="22"/>
      <w:bookmarkEnd w:id="23"/>
      <w:bookmarkEnd w:id="24"/>
      <w:bookmarkEnd w:id="25"/>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26" w:name="_Toc296602482"/>
      <w:bookmarkStart w:id="27" w:name="_Toc247085752"/>
      <w:bookmarkStart w:id="28" w:name="_Toc246996980"/>
      <w:bookmarkStart w:id="29" w:name="_Toc246996237"/>
      <w:bookmarkStart w:id="30" w:name="_Toc179632612"/>
      <w:bookmarkStart w:id="31" w:name="_Toc152045594"/>
      <w:bookmarkStart w:id="32" w:name="_Toc152042371"/>
      <w:bookmarkStart w:id="33" w:name="_Toc144974561"/>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中标候选供应商数量应当根据采购需要确定，推荐1-3名中标候选供应商，必须按顺序排列中标候选供应商。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采用综合评分法的，按评审后得分由高到低顺序排列。得分相同的，按投标报价由低到高顺序排列。得分且投标报价相同的，按技术指标优劣顺序排列。</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1.开标日期和地点；</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2.投标人名单和评标委员会成员名单；</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保密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26"/>
      <w:bookmarkEnd w:id="27"/>
      <w:bookmarkEnd w:id="28"/>
      <w:bookmarkEnd w:id="29"/>
      <w:bookmarkEnd w:id="30"/>
      <w:bookmarkEnd w:id="31"/>
      <w:bookmarkEnd w:id="32"/>
      <w:bookmarkEnd w:id="33"/>
    </w:p>
    <w:p>
      <w:pPr>
        <w:pStyle w:val="3"/>
        <w:jc w:val="center"/>
        <w:rPr>
          <w:rFonts w:hint="eastAsia"/>
        </w:rPr>
      </w:pPr>
      <w:bookmarkStart w:id="34" w:name="EB7c62c7a396b64a37a73f7fce64281754"/>
      <w:r>
        <w:rPr>
          <w:rFonts w:hint="eastAsia"/>
        </w:rPr>
        <w:t>第四章</w:t>
      </w:r>
      <w:r>
        <w:t xml:space="preserve">    </w:t>
      </w:r>
      <w:r>
        <w:rPr>
          <w:rFonts w:hint="eastAsia"/>
        </w:rPr>
        <w:t>采购需求</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以货物采购清单及技术参数要求清单为准。</w:t>
      </w:r>
    </w:p>
    <w:tbl>
      <w:tblPr>
        <w:tblStyle w:val="28"/>
        <w:tblW w:w="952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17"/>
        <w:gridCol w:w="3579"/>
        <w:gridCol w:w="860"/>
        <w:gridCol w:w="930"/>
        <w:gridCol w:w="1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520"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货物采购清单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序号</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产品名称</w:t>
            </w:r>
          </w:p>
        </w:tc>
        <w:tc>
          <w:tcPr>
            <w:tcW w:w="35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产品品牌及规格型号</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单位</w:t>
            </w: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数量</w:t>
            </w:r>
          </w:p>
        </w:tc>
        <w:tc>
          <w:tcPr>
            <w:tcW w:w="199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b/>
                <w:bCs/>
                <w:sz w:val="24"/>
                <w:szCs w:val="24"/>
                <w:vertAlign w:val="baseline"/>
                <w:lang w:val="en-US" w:eastAsia="zh-CN"/>
              </w:rPr>
            </w:pPr>
            <w:r>
              <w:rPr>
                <w:rFonts w:hint="eastAsia" w:asciiTheme="minorEastAsia" w:hAnsiTheme="minorEastAsia" w:cstheme="minorEastAsia"/>
                <w:b/>
                <w:bCs/>
                <w:sz w:val="24"/>
                <w:szCs w:val="24"/>
                <w:vertAlign w:val="baseline"/>
                <w:lang w:val="en-US" w:eastAsia="zh-CN"/>
              </w:rPr>
              <w:t>单车控制价（元）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744"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1</w:t>
            </w:r>
          </w:p>
        </w:tc>
        <w:tc>
          <w:tcPr>
            <w:tcW w:w="141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国产轿车</w:t>
            </w:r>
          </w:p>
        </w:tc>
        <w:tc>
          <w:tcPr>
            <w:tcW w:w="3579"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出租版型、油气混合双燃料</w:t>
            </w:r>
          </w:p>
        </w:tc>
        <w:tc>
          <w:tcPr>
            <w:tcW w:w="8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辆</w:t>
            </w:r>
          </w:p>
        </w:tc>
        <w:tc>
          <w:tcPr>
            <w:tcW w:w="93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150</w:t>
            </w:r>
          </w:p>
        </w:tc>
        <w:tc>
          <w:tcPr>
            <w:tcW w:w="199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Theme="minorEastAsia" w:hAnsiTheme="minorEastAsia" w:cstheme="minorEastAsia"/>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70000</w:t>
            </w:r>
          </w:p>
        </w:tc>
      </w:tr>
    </w:tbl>
    <w:p>
      <w:pPr>
        <w:rPr>
          <w:rFonts w:hint="eastAsia" w:ascii="仿宋_GB2312" w:hAnsi="仿宋_GB2312" w:eastAsia="仿宋_GB2312" w:cs="仿宋_GB2312"/>
          <w:sz w:val="32"/>
          <w:szCs w:val="32"/>
        </w:rPr>
      </w:pPr>
    </w:p>
    <w:bookmarkEnd w:id="34"/>
    <w:tbl>
      <w:tblPr>
        <w:tblStyle w:val="27"/>
        <w:tblW w:w="95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746"/>
        <w:gridCol w:w="6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9523"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技术参数要求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燃油类型</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油气混合双燃料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最大功率(KW)</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发动机型式</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EA211直列四缸16气阀电控燃油喷射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排量</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1.498L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变速箱</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五档手动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长(mm)</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4501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宽(mm)</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1704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高(mm)</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1469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轴距(mm)</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2604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排放标准</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国五排放标准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制动器类型</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lang w:val="en-US"/>
              </w:rPr>
            </w:pPr>
            <w:r>
              <w:rPr>
                <w:rFonts w:hint="eastAsia" w:ascii="宋体" w:hAnsi="宋体" w:eastAsia="宋体" w:cs="宋体"/>
                <w:b w:val="0"/>
                <w:bCs/>
                <w:i w:val="0"/>
                <w:color w:val="000000"/>
                <w:kern w:val="0"/>
                <w:sz w:val="24"/>
                <w:szCs w:val="24"/>
                <w:u w:val="none"/>
                <w:lang w:val="en-US" w:eastAsia="zh-CN" w:bidi="ar"/>
              </w:rPr>
              <w:t>前通风盘式/后鼓式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主/副气囊</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ABS防爆死</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轮圈材质</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铝合金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座椅材质</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24"/>
                <w:szCs w:val="24"/>
                <w:u w:val="none"/>
                <w:lang w:val="en-US" w:eastAsia="zh-CN" w:bidi="ar"/>
              </w:rPr>
            </w:pPr>
            <w:r>
              <w:rPr>
                <w:rFonts w:hint="eastAsia" w:ascii="宋体" w:hAnsi="宋体" w:eastAsia="宋体" w:cs="宋体"/>
                <w:b w:val="0"/>
                <w:bCs/>
                <w:i w:val="0"/>
                <w:color w:val="000000"/>
                <w:kern w:val="0"/>
                <w:sz w:val="24"/>
                <w:szCs w:val="24"/>
                <w:u w:val="none"/>
                <w:lang w:val="en-US" w:eastAsia="zh-CN" w:bidi="ar"/>
              </w:rPr>
              <w:t>织物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遥控钥匙</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其他</w:t>
            </w:r>
          </w:p>
        </w:tc>
        <w:tc>
          <w:tcPr>
            <w:tcW w:w="6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预留计价器、顶灯、导航接口等出租车特殊要求；车身颜色及标识按照采购方提供式样制定。</w:t>
            </w:r>
          </w:p>
        </w:tc>
      </w:tr>
    </w:tbl>
    <w:p>
      <w:pPr>
        <w:widowControl/>
        <w:spacing w:line="300" w:lineRule="auto"/>
        <w:jc w:val="left"/>
        <w:rPr>
          <w:rFonts w:ascii="宋体" w:hAnsi="宋体"/>
          <w:szCs w:val="72"/>
        </w:rPr>
        <w:sectPr>
          <w:pgSz w:w="11907" w:h="16840"/>
          <w:pgMar w:top="1191" w:right="1191" w:bottom="1191" w:left="1191" w:header="851" w:footer="851" w:gutter="0"/>
          <w:cols w:space="720" w:num="1"/>
        </w:sectPr>
      </w:pPr>
    </w:p>
    <w:p>
      <w:pPr>
        <w:pStyle w:val="3"/>
        <w:pageBreakBefore w:val="0"/>
        <w:kinsoku/>
        <w:wordWrap/>
        <w:overflowPunct/>
        <w:topLinePunct w:val="0"/>
        <w:bidi w:val="0"/>
        <w:snapToGrid/>
        <w:spacing w:line="560" w:lineRule="exact"/>
        <w:jc w:val="center"/>
        <w:textAlignment w:val="auto"/>
      </w:pPr>
      <w:r>
        <w:rPr>
          <w:rFonts w:hint="eastAsia"/>
        </w:rPr>
        <w:t>第五章</w:t>
      </w:r>
      <w:r>
        <w:t xml:space="preserve">   </w:t>
      </w:r>
      <w:r>
        <w:rPr>
          <w:rFonts w:hint="eastAsia"/>
        </w:rPr>
        <w:t>投标文件格式</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亳州市公交出租有限责任公司150辆出租车</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采购项目</w:t>
      </w:r>
    </w:p>
    <w:p>
      <w:pPr>
        <w:pageBreakBefore w:val="0"/>
        <w:kinsoku/>
        <w:wordWrap/>
        <w:overflowPunct/>
        <w:topLinePunct w:val="0"/>
        <w:bidi w:val="0"/>
        <w:snapToGrid/>
        <w:spacing w:line="560" w:lineRule="exact"/>
        <w:jc w:val="center"/>
        <w:textAlignment w:val="auto"/>
        <w:rPr>
          <w:rFonts w:ascii="Times New Roman" w:hAnsi="Times New Roman" w:eastAsia="黑体"/>
          <w:sz w:val="32"/>
          <w:szCs w:val="32"/>
        </w:rPr>
      </w:pPr>
      <w:r>
        <w:rPr>
          <w:rFonts w:hint="eastAsia" w:ascii="Times New Roman" w:hAnsi="黑体" w:eastAsia="黑体"/>
          <w:sz w:val="32"/>
          <w:szCs w:val="32"/>
        </w:rPr>
        <w:t>（项目编号：</w:t>
      </w:r>
      <w:r>
        <w:rPr>
          <w:rFonts w:ascii="Times New Roman" w:hAnsi="黑体" w:eastAsia="黑体"/>
          <w:sz w:val="32"/>
          <w:szCs w:val="32"/>
        </w:rPr>
        <w:t>BZJK</w:t>
      </w:r>
      <w:r>
        <w:rPr>
          <w:rFonts w:hint="eastAsia" w:ascii="Times New Roman" w:hAnsi="黑体" w:eastAsia="黑体"/>
          <w:sz w:val="32"/>
          <w:szCs w:val="32"/>
        </w:rPr>
        <w:t>-</w:t>
      </w:r>
      <w:r>
        <w:rPr>
          <w:rFonts w:ascii="Times New Roman" w:hAnsi="黑体" w:eastAsia="黑体"/>
          <w:sz w:val="32"/>
          <w:szCs w:val="32"/>
        </w:rPr>
        <w:t>2018</w:t>
      </w:r>
      <w:r>
        <w:rPr>
          <w:rFonts w:hint="eastAsia" w:ascii="Times New Roman" w:hAnsi="黑体" w:eastAsia="黑体"/>
          <w:sz w:val="32"/>
          <w:szCs w:val="32"/>
        </w:rPr>
        <w:t>-</w:t>
      </w:r>
      <w:r>
        <w:rPr>
          <w:rFonts w:ascii="Times New Roman" w:hAnsi="黑体" w:eastAsia="黑体"/>
          <w:sz w:val="32"/>
          <w:szCs w:val="32"/>
        </w:rPr>
        <w:t>0</w:t>
      </w:r>
      <w:r>
        <w:rPr>
          <w:rFonts w:hint="eastAsia" w:ascii="Times New Roman" w:hAnsi="黑体" w:eastAsia="黑体"/>
          <w:sz w:val="32"/>
          <w:szCs w:val="32"/>
          <w:lang w:val="en-US" w:eastAsia="zh-CN"/>
        </w:rPr>
        <w:t>42</w:t>
      </w:r>
      <w:r>
        <w:rPr>
          <w:rFonts w:hint="eastAsia" w:ascii="Times New Roman" w:hAnsi="黑体" w:eastAsia="黑体"/>
          <w:sz w:val="32"/>
          <w:szCs w:val="32"/>
        </w:rPr>
        <w:t>号）</w:t>
      </w: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rFonts w:ascii="黑体" w:hAnsi="黑体" w:eastAsia="黑体"/>
          <w:sz w:val="44"/>
          <w:szCs w:val="44"/>
        </w:rPr>
      </w:pPr>
      <w:r>
        <w:rPr>
          <w:rFonts w:hint="eastAsia" w:ascii="黑体" w:hAnsi="黑体" w:eastAsia="黑体"/>
          <w:sz w:val="44"/>
          <w:szCs w:val="44"/>
        </w:rPr>
        <w:t>投标文件</w:t>
      </w: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章）</w:t>
      </w:r>
    </w:p>
    <w:p>
      <w:pPr>
        <w:pageBreakBefore w:val="0"/>
        <w:kinsoku/>
        <w:wordWrap/>
        <w:overflowPunct/>
        <w:topLinePunct w:val="0"/>
        <w:bidi w:val="0"/>
        <w:snapToGrid/>
        <w:spacing w:line="560" w:lineRule="exact"/>
        <w:jc w:val="center"/>
        <w:textAlignment w:val="auto"/>
        <w:rPr>
          <w:sz w:val="32"/>
          <w:szCs w:val="32"/>
        </w:rPr>
      </w:pP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pStyle w:val="4"/>
        <w:pageBreakBefore w:val="0"/>
        <w:widowControl w:val="0"/>
        <w:kinsoku/>
        <w:wordWrap/>
        <w:overflowPunct/>
        <w:topLinePunct w:val="0"/>
        <w:autoSpaceDE/>
        <w:autoSpaceDN/>
        <w:bidi w:val="0"/>
        <w:adjustRightInd/>
        <w:snapToGrid/>
        <w:spacing w:line="560" w:lineRule="exact"/>
        <w:textAlignment w:val="auto"/>
      </w:pPr>
      <w:r>
        <w:rPr>
          <w:rFonts w:hint="eastAsia"/>
        </w:rPr>
        <w:t>一、投标函（格式）</w:t>
      </w:r>
    </w:p>
    <w:p>
      <w:pPr>
        <w:pageBreakBefore w:val="0"/>
        <w:widowControl w:val="0"/>
        <w:kinsoku/>
        <w:wordWrap/>
        <w:overflowPunct/>
        <w:topLinePunct w:val="0"/>
        <w:autoSpaceDE/>
        <w:autoSpaceDN/>
        <w:bidi w:val="0"/>
        <w:adjustRightInd/>
        <w:snapToGrid/>
        <w:spacing w:line="560" w:lineRule="exact"/>
        <w:textAlignment w:val="auto"/>
        <w:rPr>
          <w:rFonts w:ascii="宋体" w:hAnsi="宋体"/>
          <w:b/>
          <w:szCs w:val="21"/>
        </w:rPr>
      </w:pPr>
      <w:r>
        <w:rPr>
          <w:rFonts w:hint="eastAsia" w:ascii="仿宋_GB2312" w:hAnsi="仿宋_GB2312" w:eastAsia="仿宋_GB2312" w:cs="仿宋_GB2312"/>
          <w:sz w:val="32"/>
          <w:szCs w:val="32"/>
          <w:highlight w:val="green"/>
        </w:rPr>
        <w:t>亳州市公交出租有限责任公司</w:t>
      </w:r>
      <w:r>
        <w:rPr>
          <w:rFonts w:hint="eastAsia" w:ascii="宋体" w:hAnsi="宋体"/>
          <w:b/>
          <w:sz w:val="32"/>
          <w:szCs w:val="32"/>
        </w:rPr>
        <w:t>：</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2、我方同意</w:t>
      </w:r>
      <w:r>
        <w:rPr>
          <w:rFonts w:hint="eastAsia" w:ascii="宋体" w:hAnsi="宋体"/>
          <w:szCs w:val="21"/>
        </w:rPr>
        <w:t>接受招标文件中招标有效期的相关规定。</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3、一旦我方中标，我方将严格履行合同规定的责任和义务。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5、我方愿意提供贵中心可能另外要求的、与谈判有关的文件资料，并保证我方已提供和将要提供的文件是真实的、准确的。</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7、我方完全理解贵中心不一定将合同授予最低报价的供应商。</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单位地址及邮政编码：</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联系电话（传真）：</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sectPr>
          <w:pgSz w:w="11907" w:h="16840"/>
          <w:pgMar w:top="1191" w:right="1191" w:bottom="1191" w:left="1191" w:header="851" w:footer="851" w:gutter="0"/>
          <w:cols w:space="720" w:num="1"/>
        </w:sectPr>
      </w:pPr>
      <w:r>
        <w:rPr>
          <w:rFonts w:ascii="宋体" w:hAnsi="宋体"/>
        </w:rPr>
        <w:t xml:space="preserve">                                                          年    月    日</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rPr>
      </w:pPr>
      <w:r>
        <w:rPr>
          <w:rFonts w:hint="eastAsia"/>
        </w:rPr>
        <w:t>二、开标一览表（格式）</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7"/>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szCs w:val="18"/>
              </w:rPr>
            </w:pPr>
            <w:r>
              <w:rPr>
                <w:rFonts w:hint="eastAsia" w:ascii="宋体" w:hAnsi="宋体"/>
                <w:szCs w:val="18"/>
              </w:rPr>
              <w:t>首付比例</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color w:val="FF000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szCs w:val="18"/>
              </w:rPr>
            </w:pPr>
            <w:r>
              <w:rPr>
                <w:rFonts w:hint="eastAsia" w:ascii="宋体" w:hAnsi="宋体"/>
                <w:szCs w:val="18"/>
              </w:rPr>
              <w:t>金融政策</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color w:val="FF000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p>
    <w:p>
      <w:pPr>
        <w:pageBreakBefore w:val="0"/>
        <w:kinsoku/>
        <w:wordWrap/>
        <w:overflowPunct/>
        <w:topLinePunct w:val="0"/>
        <w:autoSpaceDE w:val="0"/>
        <w:autoSpaceDN w:val="0"/>
        <w:bidi w:val="0"/>
        <w:adjustRightInd w:val="0"/>
        <w:snapToGrid/>
        <w:spacing w:line="560" w:lineRule="exact"/>
        <w:ind w:firstLine="6615" w:firstLineChars="3150"/>
        <w:jc w:val="left"/>
        <w:textAlignment w:val="auto"/>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spacing w:line="360" w:lineRule="exact"/>
        <w:ind w:left="420" w:hanging="420" w:hangingChars="200"/>
      </w:pP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7"/>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r>
        <w:rPr>
          <w:rFonts w:hint="eastAsia" w:ascii="宋体" w:hAnsi="宋体" w:cs="宋体"/>
        </w:rPr>
        <w:t>。</w:t>
      </w:r>
    </w:p>
    <w:p>
      <w:pPr>
        <w:pStyle w:val="4"/>
        <w:jc w:val="center"/>
      </w:pPr>
      <w:r>
        <w:rPr>
          <w:rFonts w:hint="eastAsia"/>
          <w:lang w:eastAsia="zh-CN"/>
        </w:rPr>
        <w:t>四</w:t>
      </w:r>
      <w:r>
        <w:rPr>
          <w:rFonts w:hint="eastAsia"/>
        </w:rPr>
        <w:t>、</w:t>
      </w:r>
      <w:r>
        <w:rPr>
          <w:rFonts w:hint="eastAsia"/>
          <w:lang w:eastAsia="zh-CN"/>
        </w:rPr>
        <w:t>车辆配置及情况介绍</w:t>
      </w:r>
      <w:r>
        <w:rPr>
          <w:rFonts w:hint="eastAsia"/>
        </w:rPr>
        <w:t>（格式</w:t>
      </w:r>
      <w:r>
        <w:rPr>
          <w:rFonts w:hint="eastAsia"/>
          <w:lang w:eastAsia="zh-CN"/>
        </w:rPr>
        <w:t>自拟</w:t>
      </w:r>
      <w:r>
        <w:rPr>
          <w:rFonts w:hint="eastAsia"/>
        </w:rPr>
        <w:t>）</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pPr>
      <w:r>
        <w:rPr>
          <w:rFonts w:hint="eastAsia"/>
          <w:lang w:eastAsia="zh-CN"/>
        </w:rPr>
        <w:t>五</w:t>
      </w:r>
      <w:r>
        <w:rPr>
          <w:rFonts w:hint="eastAsia"/>
        </w:rPr>
        <w:t>、服务方案（格式）</w:t>
      </w:r>
    </w:p>
    <w:p>
      <w:pPr>
        <w:jc w:val="center"/>
        <w:rPr>
          <w:rFonts w:ascii="Times New Roman" w:hAnsi="Times New Roman"/>
          <w:b/>
          <w:sz w:val="32"/>
          <w:szCs w:val="20"/>
        </w:rPr>
      </w:pPr>
      <w:r>
        <w:rPr>
          <w:rFonts w:hint="eastAsia" w:ascii="Times New Roman" w:hAnsi="Times New Roman"/>
          <w:b/>
          <w:sz w:val="32"/>
          <w:szCs w:val="20"/>
        </w:rPr>
        <w:t>（投标人根据本项目采购需求和企业实际情况自行编写）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六</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、专业技术能力材料</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4"/>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7"/>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410" w:firstLineChars="210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410" w:firstLineChars="210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7"/>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ind w:hanging="4"/>
        <w:rPr>
          <w:rFonts w:hint="eastAsia" w:ascii="宋体" w:hAnsi="宋体"/>
          <w:b/>
          <w:bCs/>
        </w:rPr>
      </w:pPr>
    </w:p>
    <w:p>
      <w:pPr>
        <w:spacing w:line="400" w:lineRule="exact"/>
        <w:ind w:hanging="4"/>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right"/>
        <w:rPr>
          <w:rFonts w:ascii="宋体" w:hAnsi="宋体"/>
          <w:szCs w:val="21"/>
        </w:rPr>
      </w:pPr>
      <w:r>
        <w:rPr>
          <w:rFonts w:hint="eastAsia" w:ascii="宋体" w:hAnsi="宋体"/>
          <w:szCs w:val="21"/>
        </w:rPr>
        <w:t>投标供应商名称(盖单位公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六</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273C"/>
    <w:rsid w:val="00015616"/>
    <w:rsid w:val="00040B57"/>
    <w:rsid w:val="00043BA7"/>
    <w:rsid w:val="00045E34"/>
    <w:rsid w:val="0009291E"/>
    <w:rsid w:val="000A416F"/>
    <w:rsid w:val="000F1DC7"/>
    <w:rsid w:val="00117DFC"/>
    <w:rsid w:val="001531DE"/>
    <w:rsid w:val="00162093"/>
    <w:rsid w:val="00162BE8"/>
    <w:rsid w:val="001A0FCF"/>
    <w:rsid w:val="001D3169"/>
    <w:rsid w:val="00202C7A"/>
    <w:rsid w:val="003B39BF"/>
    <w:rsid w:val="003B4C27"/>
    <w:rsid w:val="003C3054"/>
    <w:rsid w:val="004F0904"/>
    <w:rsid w:val="00544445"/>
    <w:rsid w:val="00583433"/>
    <w:rsid w:val="005934C6"/>
    <w:rsid w:val="005E3D0B"/>
    <w:rsid w:val="005F5873"/>
    <w:rsid w:val="0062559E"/>
    <w:rsid w:val="006374C1"/>
    <w:rsid w:val="006419E6"/>
    <w:rsid w:val="0067764E"/>
    <w:rsid w:val="006A3688"/>
    <w:rsid w:val="00700A26"/>
    <w:rsid w:val="00774ECC"/>
    <w:rsid w:val="00790030"/>
    <w:rsid w:val="007A7EDD"/>
    <w:rsid w:val="007C38DF"/>
    <w:rsid w:val="007C4E06"/>
    <w:rsid w:val="00800F45"/>
    <w:rsid w:val="00804D82"/>
    <w:rsid w:val="00813905"/>
    <w:rsid w:val="00821F2D"/>
    <w:rsid w:val="00826AC2"/>
    <w:rsid w:val="00841AB1"/>
    <w:rsid w:val="008F1296"/>
    <w:rsid w:val="00906A63"/>
    <w:rsid w:val="0091284E"/>
    <w:rsid w:val="009665A2"/>
    <w:rsid w:val="0097730C"/>
    <w:rsid w:val="0098198B"/>
    <w:rsid w:val="00984167"/>
    <w:rsid w:val="00A35796"/>
    <w:rsid w:val="00AC337C"/>
    <w:rsid w:val="00AC6422"/>
    <w:rsid w:val="00BD2876"/>
    <w:rsid w:val="00CA14B2"/>
    <w:rsid w:val="00DC0AA1"/>
    <w:rsid w:val="00DE0BF4"/>
    <w:rsid w:val="00E95685"/>
    <w:rsid w:val="00EA1B7F"/>
    <w:rsid w:val="00EC638D"/>
    <w:rsid w:val="00ED3B67"/>
    <w:rsid w:val="00ED68BE"/>
    <w:rsid w:val="00F10591"/>
    <w:rsid w:val="00F30EFA"/>
    <w:rsid w:val="00F40777"/>
    <w:rsid w:val="00F83EF9"/>
    <w:rsid w:val="00FF02E7"/>
    <w:rsid w:val="017C5855"/>
    <w:rsid w:val="0199005E"/>
    <w:rsid w:val="01D10A03"/>
    <w:rsid w:val="01DD72A3"/>
    <w:rsid w:val="01EF5754"/>
    <w:rsid w:val="023757B3"/>
    <w:rsid w:val="02951DF0"/>
    <w:rsid w:val="02AE742E"/>
    <w:rsid w:val="02AF62D1"/>
    <w:rsid w:val="02C02C02"/>
    <w:rsid w:val="02D829DA"/>
    <w:rsid w:val="02F05E89"/>
    <w:rsid w:val="02F43301"/>
    <w:rsid w:val="030142AB"/>
    <w:rsid w:val="036805C3"/>
    <w:rsid w:val="03685712"/>
    <w:rsid w:val="038D6067"/>
    <w:rsid w:val="03BD28DE"/>
    <w:rsid w:val="03FE7CA9"/>
    <w:rsid w:val="04095B89"/>
    <w:rsid w:val="040A4C5C"/>
    <w:rsid w:val="04416ACC"/>
    <w:rsid w:val="045612DE"/>
    <w:rsid w:val="04570013"/>
    <w:rsid w:val="046F0BEC"/>
    <w:rsid w:val="04973B2C"/>
    <w:rsid w:val="04AD5B36"/>
    <w:rsid w:val="058A4630"/>
    <w:rsid w:val="05CE2A0C"/>
    <w:rsid w:val="05D64EAC"/>
    <w:rsid w:val="05DC774A"/>
    <w:rsid w:val="06150AE0"/>
    <w:rsid w:val="06577CAF"/>
    <w:rsid w:val="0663344B"/>
    <w:rsid w:val="068A4B8F"/>
    <w:rsid w:val="06B01F4B"/>
    <w:rsid w:val="06D04F11"/>
    <w:rsid w:val="06DB2828"/>
    <w:rsid w:val="06E4009D"/>
    <w:rsid w:val="06EE2515"/>
    <w:rsid w:val="0735447B"/>
    <w:rsid w:val="07A212B9"/>
    <w:rsid w:val="07FA7F09"/>
    <w:rsid w:val="082A5ECE"/>
    <w:rsid w:val="084336AA"/>
    <w:rsid w:val="08520FE0"/>
    <w:rsid w:val="085406F1"/>
    <w:rsid w:val="08A10F31"/>
    <w:rsid w:val="08EF448F"/>
    <w:rsid w:val="09346567"/>
    <w:rsid w:val="09C60DDE"/>
    <w:rsid w:val="09F8183D"/>
    <w:rsid w:val="0A0A1305"/>
    <w:rsid w:val="0A162031"/>
    <w:rsid w:val="0A22361D"/>
    <w:rsid w:val="0A280DD4"/>
    <w:rsid w:val="0A3D77A9"/>
    <w:rsid w:val="0A6B2C11"/>
    <w:rsid w:val="0AB523AD"/>
    <w:rsid w:val="0AFA39D0"/>
    <w:rsid w:val="0B0B5F95"/>
    <w:rsid w:val="0B1D21EF"/>
    <w:rsid w:val="0B261B1A"/>
    <w:rsid w:val="0B397266"/>
    <w:rsid w:val="0B421562"/>
    <w:rsid w:val="0B584E77"/>
    <w:rsid w:val="0B81723A"/>
    <w:rsid w:val="0BD230A2"/>
    <w:rsid w:val="0BF60FF1"/>
    <w:rsid w:val="0C1163A6"/>
    <w:rsid w:val="0C59043B"/>
    <w:rsid w:val="0C5F215B"/>
    <w:rsid w:val="0C6B7745"/>
    <w:rsid w:val="0CAE621A"/>
    <w:rsid w:val="0CB10EDC"/>
    <w:rsid w:val="0CDF3609"/>
    <w:rsid w:val="0CF7404C"/>
    <w:rsid w:val="0CF83B06"/>
    <w:rsid w:val="0D245564"/>
    <w:rsid w:val="0D53148E"/>
    <w:rsid w:val="0DEA5972"/>
    <w:rsid w:val="0DF80704"/>
    <w:rsid w:val="0DFF21E8"/>
    <w:rsid w:val="0E6B6986"/>
    <w:rsid w:val="0E790794"/>
    <w:rsid w:val="0F185780"/>
    <w:rsid w:val="0F487FCD"/>
    <w:rsid w:val="0F6019E4"/>
    <w:rsid w:val="0F64419F"/>
    <w:rsid w:val="0FCF42BC"/>
    <w:rsid w:val="1087643D"/>
    <w:rsid w:val="109C13AC"/>
    <w:rsid w:val="10C92802"/>
    <w:rsid w:val="10DB24A9"/>
    <w:rsid w:val="10FC32BF"/>
    <w:rsid w:val="11310FFD"/>
    <w:rsid w:val="11316F63"/>
    <w:rsid w:val="113932E1"/>
    <w:rsid w:val="113F1620"/>
    <w:rsid w:val="11411F0E"/>
    <w:rsid w:val="11771932"/>
    <w:rsid w:val="11856105"/>
    <w:rsid w:val="11A67C64"/>
    <w:rsid w:val="11BE365B"/>
    <w:rsid w:val="11E74606"/>
    <w:rsid w:val="11EF0085"/>
    <w:rsid w:val="11F93300"/>
    <w:rsid w:val="120D3C7F"/>
    <w:rsid w:val="12193F12"/>
    <w:rsid w:val="125E7743"/>
    <w:rsid w:val="12D966EA"/>
    <w:rsid w:val="12FC2559"/>
    <w:rsid w:val="12FC628A"/>
    <w:rsid w:val="134D4594"/>
    <w:rsid w:val="136B744C"/>
    <w:rsid w:val="13807777"/>
    <w:rsid w:val="138B43B4"/>
    <w:rsid w:val="1392366A"/>
    <w:rsid w:val="13A048FF"/>
    <w:rsid w:val="13C54E2E"/>
    <w:rsid w:val="13D24EAD"/>
    <w:rsid w:val="13DE5B9B"/>
    <w:rsid w:val="13E3405B"/>
    <w:rsid w:val="13FB77C7"/>
    <w:rsid w:val="140A5407"/>
    <w:rsid w:val="141400A4"/>
    <w:rsid w:val="143A0333"/>
    <w:rsid w:val="148B31A8"/>
    <w:rsid w:val="14911024"/>
    <w:rsid w:val="14D009A9"/>
    <w:rsid w:val="14F62C3C"/>
    <w:rsid w:val="15346911"/>
    <w:rsid w:val="15353B9B"/>
    <w:rsid w:val="15384F4D"/>
    <w:rsid w:val="158C6D10"/>
    <w:rsid w:val="15912A85"/>
    <w:rsid w:val="15D07BF0"/>
    <w:rsid w:val="16190916"/>
    <w:rsid w:val="165F2D3C"/>
    <w:rsid w:val="16872BC3"/>
    <w:rsid w:val="16E36B64"/>
    <w:rsid w:val="170B25A1"/>
    <w:rsid w:val="171806DE"/>
    <w:rsid w:val="17255E00"/>
    <w:rsid w:val="175702E4"/>
    <w:rsid w:val="178B3B81"/>
    <w:rsid w:val="179470EA"/>
    <w:rsid w:val="17BE79E1"/>
    <w:rsid w:val="1887071B"/>
    <w:rsid w:val="188919B7"/>
    <w:rsid w:val="188E0E41"/>
    <w:rsid w:val="192A3B11"/>
    <w:rsid w:val="19327AC1"/>
    <w:rsid w:val="19371B65"/>
    <w:rsid w:val="193C4ECF"/>
    <w:rsid w:val="193E48E7"/>
    <w:rsid w:val="194951FC"/>
    <w:rsid w:val="19722D32"/>
    <w:rsid w:val="19897D90"/>
    <w:rsid w:val="198B362C"/>
    <w:rsid w:val="198E15C4"/>
    <w:rsid w:val="19D67049"/>
    <w:rsid w:val="1A1922C2"/>
    <w:rsid w:val="1A2554C6"/>
    <w:rsid w:val="1A2F0D50"/>
    <w:rsid w:val="1A3936A6"/>
    <w:rsid w:val="1A637179"/>
    <w:rsid w:val="1A966A07"/>
    <w:rsid w:val="1ADE2E06"/>
    <w:rsid w:val="1B396950"/>
    <w:rsid w:val="1B5F63B6"/>
    <w:rsid w:val="1B620051"/>
    <w:rsid w:val="1B88108C"/>
    <w:rsid w:val="1BCE03B4"/>
    <w:rsid w:val="1BDA07CE"/>
    <w:rsid w:val="1BF5601C"/>
    <w:rsid w:val="1BFA2638"/>
    <w:rsid w:val="1BFE358D"/>
    <w:rsid w:val="1C0E5F9D"/>
    <w:rsid w:val="1C1C2E37"/>
    <w:rsid w:val="1C582B69"/>
    <w:rsid w:val="1C597AF8"/>
    <w:rsid w:val="1CB80F06"/>
    <w:rsid w:val="1CC916A9"/>
    <w:rsid w:val="1CDB76AE"/>
    <w:rsid w:val="1CE57B01"/>
    <w:rsid w:val="1CE81709"/>
    <w:rsid w:val="1D502E99"/>
    <w:rsid w:val="1D6F04EF"/>
    <w:rsid w:val="1D944998"/>
    <w:rsid w:val="1E016139"/>
    <w:rsid w:val="1E052940"/>
    <w:rsid w:val="1E077D54"/>
    <w:rsid w:val="1E285218"/>
    <w:rsid w:val="1E716623"/>
    <w:rsid w:val="1E7C719E"/>
    <w:rsid w:val="1E7E3454"/>
    <w:rsid w:val="1E9B231F"/>
    <w:rsid w:val="1E9B304C"/>
    <w:rsid w:val="1ECE326F"/>
    <w:rsid w:val="1EEB471A"/>
    <w:rsid w:val="1EF006A4"/>
    <w:rsid w:val="1F0059A6"/>
    <w:rsid w:val="1F250882"/>
    <w:rsid w:val="1F782FB2"/>
    <w:rsid w:val="1FD70ECF"/>
    <w:rsid w:val="1FDB511C"/>
    <w:rsid w:val="1FFC23E0"/>
    <w:rsid w:val="2034798F"/>
    <w:rsid w:val="20892C85"/>
    <w:rsid w:val="208A24BA"/>
    <w:rsid w:val="21193AFE"/>
    <w:rsid w:val="21562B07"/>
    <w:rsid w:val="21672C18"/>
    <w:rsid w:val="21722BB2"/>
    <w:rsid w:val="217A3012"/>
    <w:rsid w:val="221A0307"/>
    <w:rsid w:val="22412DF5"/>
    <w:rsid w:val="224C2BA9"/>
    <w:rsid w:val="225C67A2"/>
    <w:rsid w:val="22A52DEF"/>
    <w:rsid w:val="22AA1FD1"/>
    <w:rsid w:val="22E273FE"/>
    <w:rsid w:val="23222C82"/>
    <w:rsid w:val="23492922"/>
    <w:rsid w:val="23632373"/>
    <w:rsid w:val="2375262B"/>
    <w:rsid w:val="23A076B2"/>
    <w:rsid w:val="23C94D1F"/>
    <w:rsid w:val="23F51CD0"/>
    <w:rsid w:val="23F91CE2"/>
    <w:rsid w:val="24075C73"/>
    <w:rsid w:val="244132F7"/>
    <w:rsid w:val="24747045"/>
    <w:rsid w:val="249657A1"/>
    <w:rsid w:val="24B16ABF"/>
    <w:rsid w:val="24FB73E7"/>
    <w:rsid w:val="25471239"/>
    <w:rsid w:val="254F663B"/>
    <w:rsid w:val="25636ED3"/>
    <w:rsid w:val="256858D6"/>
    <w:rsid w:val="25A337BE"/>
    <w:rsid w:val="25D47D11"/>
    <w:rsid w:val="26075FB3"/>
    <w:rsid w:val="260A2E1B"/>
    <w:rsid w:val="26117871"/>
    <w:rsid w:val="26235873"/>
    <w:rsid w:val="264107B5"/>
    <w:rsid w:val="26602646"/>
    <w:rsid w:val="26705029"/>
    <w:rsid w:val="26BB7FAD"/>
    <w:rsid w:val="26C56753"/>
    <w:rsid w:val="26C63553"/>
    <w:rsid w:val="26DE5AE1"/>
    <w:rsid w:val="27086E2A"/>
    <w:rsid w:val="27443233"/>
    <w:rsid w:val="278C73C2"/>
    <w:rsid w:val="27B55C47"/>
    <w:rsid w:val="27F13A69"/>
    <w:rsid w:val="286004AF"/>
    <w:rsid w:val="28986046"/>
    <w:rsid w:val="28A60F74"/>
    <w:rsid w:val="28C95652"/>
    <w:rsid w:val="29060836"/>
    <w:rsid w:val="29C37A81"/>
    <w:rsid w:val="29DF7340"/>
    <w:rsid w:val="29EC64E1"/>
    <w:rsid w:val="2A026BB6"/>
    <w:rsid w:val="2A395674"/>
    <w:rsid w:val="2A7B2670"/>
    <w:rsid w:val="2A8A7616"/>
    <w:rsid w:val="2A8F5BF7"/>
    <w:rsid w:val="2A9E5871"/>
    <w:rsid w:val="2AB43E85"/>
    <w:rsid w:val="2AC22952"/>
    <w:rsid w:val="2AC824E5"/>
    <w:rsid w:val="2B04654D"/>
    <w:rsid w:val="2B33324D"/>
    <w:rsid w:val="2B4A3E18"/>
    <w:rsid w:val="2BC877E1"/>
    <w:rsid w:val="2BD42EA3"/>
    <w:rsid w:val="2C042395"/>
    <w:rsid w:val="2C087A91"/>
    <w:rsid w:val="2C19013C"/>
    <w:rsid w:val="2C291ED7"/>
    <w:rsid w:val="2C3D6575"/>
    <w:rsid w:val="2C86015D"/>
    <w:rsid w:val="2C864681"/>
    <w:rsid w:val="2CB02129"/>
    <w:rsid w:val="2CB404E3"/>
    <w:rsid w:val="2CD1749D"/>
    <w:rsid w:val="2CE8449A"/>
    <w:rsid w:val="2CF24AFF"/>
    <w:rsid w:val="2CFC03C7"/>
    <w:rsid w:val="2D525CEF"/>
    <w:rsid w:val="2D59568A"/>
    <w:rsid w:val="2D9A3212"/>
    <w:rsid w:val="2DDD3A5D"/>
    <w:rsid w:val="2DFD5DC6"/>
    <w:rsid w:val="2E067593"/>
    <w:rsid w:val="2E3A7477"/>
    <w:rsid w:val="2EA02CAF"/>
    <w:rsid w:val="2ED525A5"/>
    <w:rsid w:val="2F074940"/>
    <w:rsid w:val="2F172945"/>
    <w:rsid w:val="2F1E5486"/>
    <w:rsid w:val="2FD02BAA"/>
    <w:rsid w:val="2FEE7902"/>
    <w:rsid w:val="30050AEE"/>
    <w:rsid w:val="300E13CB"/>
    <w:rsid w:val="3022625B"/>
    <w:rsid w:val="302743BE"/>
    <w:rsid w:val="303C41F7"/>
    <w:rsid w:val="306C0D05"/>
    <w:rsid w:val="308C092C"/>
    <w:rsid w:val="30D64D82"/>
    <w:rsid w:val="30D74F26"/>
    <w:rsid w:val="30DB7909"/>
    <w:rsid w:val="32025AA8"/>
    <w:rsid w:val="321550D1"/>
    <w:rsid w:val="321D7190"/>
    <w:rsid w:val="322005C6"/>
    <w:rsid w:val="322C51D1"/>
    <w:rsid w:val="3251583E"/>
    <w:rsid w:val="32673A26"/>
    <w:rsid w:val="328542FC"/>
    <w:rsid w:val="32A14D1F"/>
    <w:rsid w:val="3314062E"/>
    <w:rsid w:val="33305E55"/>
    <w:rsid w:val="334D6337"/>
    <w:rsid w:val="3352548A"/>
    <w:rsid w:val="336B5CAB"/>
    <w:rsid w:val="33BD7F2C"/>
    <w:rsid w:val="34383058"/>
    <w:rsid w:val="345C0F18"/>
    <w:rsid w:val="34690C61"/>
    <w:rsid w:val="347C6CC3"/>
    <w:rsid w:val="34B03D90"/>
    <w:rsid w:val="34D9455D"/>
    <w:rsid w:val="34DD0ACD"/>
    <w:rsid w:val="35192EC1"/>
    <w:rsid w:val="35690578"/>
    <w:rsid w:val="35745877"/>
    <w:rsid w:val="35BF3288"/>
    <w:rsid w:val="36113FEA"/>
    <w:rsid w:val="3619790A"/>
    <w:rsid w:val="36413B15"/>
    <w:rsid w:val="365135C0"/>
    <w:rsid w:val="36647D52"/>
    <w:rsid w:val="36E57E57"/>
    <w:rsid w:val="370C3340"/>
    <w:rsid w:val="374B5F1B"/>
    <w:rsid w:val="37CB1163"/>
    <w:rsid w:val="37D645CE"/>
    <w:rsid w:val="37DE2D31"/>
    <w:rsid w:val="37F02659"/>
    <w:rsid w:val="38057296"/>
    <w:rsid w:val="380D58D5"/>
    <w:rsid w:val="3814112B"/>
    <w:rsid w:val="381C0F4F"/>
    <w:rsid w:val="38266385"/>
    <w:rsid w:val="383E2DE2"/>
    <w:rsid w:val="385D2F99"/>
    <w:rsid w:val="38901813"/>
    <w:rsid w:val="38BB43DD"/>
    <w:rsid w:val="39283BA5"/>
    <w:rsid w:val="39533B74"/>
    <w:rsid w:val="39585FC2"/>
    <w:rsid w:val="395C1531"/>
    <w:rsid w:val="396D6D68"/>
    <w:rsid w:val="39845DB0"/>
    <w:rsid w:val="39EB4B69"/>
    <w:rsid w:val="39EB5EA2"/>
    <w:rsid w:val="3A091CAD"/>
    <w:rsid w:val="3A135145"/>
    <w:rsid w:val="3A810F62"/>
    <w:rsid w:val="3B2B625D"/>
    <w:rsid w:val="3B693B29"/>
    <w:rsid w:val="3B8F3BC9"/>
    <w:rsid w:val="3BF329C8"/>
    <w:rsid w:val="3BF93FBF"/>
    <w:rsid w:val="3C534031"/>
    <w:rsid w:val="3CBD2FF9"/>
    <w:rsid w:val="3CCA230E"/>
    <w:rsid w:val="3CCC14A3"/>
    <w:rsid w:val="3CE33B6D"/>
    <w:rsid w:val="3D2F59C9"/>
    <w:rsid w:val="3D3E5D63"/>
    <w:rsid w:val="3D7D7FC1"/>
    <w:rsid w:val="3D821F97"/>
    <w:rsid w:val="3DD81EEE"/>
    <w:rsid w:val="3E757812"/>
    <w:rsid w:val="3E7773AC"/>
    <w:rsid w:val="3E800213"/>
    <w:rsid w:val="3EC87035"/>
    <w:rsid w:val="3F035F31"/>
    <w:rsid w:val="3F395588"/>
    <w:rsid w:val="3F41585D"/>
    <w:rsid w:val="3F4515C0"/>
    <w:rsid w:val="3F4636A5"/>
    <w:rsid w:val="3F8431D3"/>
    <w:rsid w:val="3FB36454"/>
    <w:rsid w:val="401830B8"/>
    <w:rsid w:val="40296279"/>
    <w:rsid w:val="403D553E"/>
    <w:rsid w:val="406C7E4D"/>
    <w:rsid w:val="40A259CC"/>
    <w:rsid w:val="40A30579"/>
    <w:rsid w:val="40B63A34"/>
    <w:rsid w:val="40BB0D10"/>
    <w:rsid w:val="40C55D80"/>
    <w:rsid w:val="40DD108B"/>
    <w:rsid w:val="40FE7CB2"/>
    <w:rsid w:val="412B4C66"/>
    <w:rsid w:val="4157098C"/>
    <w:rsid w:val="41836582"/>
    <w:rsid w:val="41AD6420"/>
    <w:rsid w:val="41B50A2C"/>
    <w:rsid w:val="41D25B52"/>
    <w:rsid w:val="4221084C"/>
    <w:rsid w:val="423A2C3D"/>
    <w:rsid w:val="42405294"/>
    <w:rsid w:val="425D2521"/>
    <w:rsid w:val="426A34AC"/>
    <w:rsid w:val="429C339C"/>
    <w:rsid w:val="42F7668F"/>
    <w:rsid w:val="42F97F5A"/>
    <w:rsid w:val="43CE0EBB"/>
    <w:rsid w:val="44233EE9"/>
    <w:rsid w:val="443C7755"/>
    <w:rsid w:val="444A4D2F"/>
    <w:rsid w:val="44536EF2"/>
    <w:rsid w:val="44B35DDC"/>
    <w:rsid w:val="44D57031"/>
    <w:rsid w:val="45875CC6"/>
    <w:rsid w:val="45A36A3D"/>
    <w:rsid w:val="45AA79FB"/>
    <w:rsid w:val="45CB2942"/>
    <w:rsid w:val="460513DF"/>
    <w:rsid w:val="461D5BB5"/>
    <w:rsid w:val="462E350F"/>
    <w:rsid w:val="46796A20"/>
    <w:rsid w:val="468E0FA7"/>
    <w:rsid w:val="470E27C6"/>
    <w:rsid w:val="47482F59"/>
    <w:rsid w:val="47985A05"/>
    <w:rsid w:val="479E39D2"/>
    <w:rsid w:val="47D93839"/>
    <w:rsid w:val="4824137E"/>
    <w:rsid w:val="48533E15"/>
    <w:rsid w:val="485F14D7"/>
    <w:rsid w:val="49142D9C"/>
    <w:rsid w:val="49495769"/>
    <w:rsid w:val="49A35EB0"/>
    <w:rsid w:val="49B02462"/>
    <w:rsid w:val="4A1D3AE6"/>
    <w:rsid w:val="4A3A1B5E"/>
    <w:rsid w:val="4A490312"/>
    <w:rsid w:val="4AB13F52"/>
    <w:rsid w:val="4AD64765"/>
    <w:rsid w:val="4ADC1AB7"/>
    <w:rsid w:val="4ADF1E42"/>
    <w:rsid w:val="4AF3079A"/>
    <w:rsid w:val="4B026843"/>
    <w:rsid w:val="4B075213"/>
    <w:rsid w:val="4B1048B4"/>
    <w:rsid w:val="4B2845D5"/>
    <w:rsid w:val="4B4F44A6"/>
    <w:rsid w:val="4B5408DE"/>
    <w:rsid w:val="4B5C0632"/>
    <w:rsid w:val="4B6D1A57"/>
    <w:rsid w:val="4B940384"/>
    <w:rsid w:val="4BC1218E"/>
    <w:rsid w:val="4BDF4296"/>
    <w:rsid w:val="4C222760"/>
    <w:rsid w:val="4C51686B"/>
    <w:rsid w:val="4C697F4E"/>
    <w:rsid w:val="4C6C0656"/>
    <w:rsid w:val="4C6C5F92"/>
    <w:rsid w:val="4C856218"/>
    <w:rsid w:val="4CB37DEE"/>
    <w:rsid w:val="4CBA21F6"/>
    <w:rsid w:val="4CE177B6"/>
    <w:rsid w:val="4D107C8D"/>
    <w:rsid w:val="4D374F4D"/>
    <w:rsid w:val="4DA1093A"/>
    <w:rsid w:val="4DAF4F8C"/>
    <w:rsid w:val="4DD94C28"/>
    <w:rsid w:val="4DF95D5E"/>
    <w:rsid w:val="4E3B7913"/>
    <w:rsid w:val="4EA41BA6"/>
    <w:rsid w:val="4F877533"/>
    <w:rsid w:val="4F895E68"/>
    <w:rsid w:val="4FBB481F"/>
    <w:rsid w:val="4FE6601A"/>
    <w:rsid w:val="4FE86E37"/>
    <w:rsid w:val="4FFA1D62"/>
    <w:rsid w:val="500D31E4"/>
    <w:rsid w:val="500D7CFD"/>
    <w:rsid w:val="50146694"/>
    <w:rsid w:val="5048277E"/>
    <w:rsid w:val="50862F23"/>
    <w:rsid w:val="50FE149B"/>
    <w:rsid w:val="511217C6"/>
    <w:rsid w:val="511B7833"/>
    <w:rsid w:val="511C3643"/>
    <w:rsid w:val="514F425F"/>
    <w:rsid w:val="51663C1D"/>
    <w:rsid w:val="5167510B"/>
    <w:rsid w:val="519667D5"/>
    <w:rsid w:val="519C2761"/>
    <w:rsid w:val="519E5104"/>
    <w:rsid w:val="51B07305"/>
    <w:rsid w:val="51BF31F1"/>
    <w:rsid w:val="51C618C2"/>
    <w:rsid w:val="51D524A6"/>
    <w:rsid w:val="51E22A1D"/>
    <w:rsid w:val="52594C2B"/>
    <w:rsid w:val="5260447E"/>
    <w:rsid w:val="52762A27"/>
    <w:rsid w:val="52780535"/>
    <w:rsid w:val="52FB2CA6"/>
    <w:rsid w:val="53122EA5"/>
    <w:rsid w:val="53415F45"/>
    <w:rsid w:val="53723BF9"/>
    <w:rsid w:val="53E54601"/>
    <w:rsid w:val="540117CE"/>
    <w:rsid w:val="54110236"/>
    <w:rsid w:val="541A1B4F"/>
    <w:rsid w:val="542E01B2"/>
    <w:rsid w:val="547B546E"/>
    <w:rsid w:val="547D228D"/>
    <w:rsid w:val="54842EAB"/>
    <w:rsid w:val="54864344"/>
    <w:rsid w:val="54E46D99"/>
    <w:rsid w:val="54F21505"/>
    <w:rsid w:val="55285C97"/>
    <w:rsid w:val="55800627"/>
    <w:rsid w:val="559D1D6D"/>
    <w:rsid w:val="559E2FC5"/>
    <w:rsid w:val="561869D4"/>
    <w:rsid w:val="56206151"/>
    <w:rsid w:val="5644604D"/>
    <w:rsid w:val="565904F2"/>
    <w:rsid w:val="565B48A2"/>
    <w:rsid w:val="56857245"/>
    <w:rsid w:val="56CF7846"/>
    <w:rsid w:val="56EF5BAB"/>
    <w:rsid w:val="571D7FB9"/>
    <w:rsid w:val="57533241"/>
    <w:rsid w:val="575776E4"/>
    <w:rsid w:val="576D4B21"/>
    <w:rsid w:val="577A4793"/>
    <w:rsid w:val="577E2891"/>
    <w:rsid w:val="57A60DCF"/>
    <w:rsid w:val="57AA7795"/>
    <w:rsid w:val="57B31204"/>
    <w:rsid w:val="57E81B16"/>
    <w:rsid w:val="585920F0"/>
    <w:rsid w:val="588A5746"/>
    <w:rsid w:val="589223F6"/>
    <w:rsid w:val="58AE70C9"/>
    <w:rsid w:val="58BB0A35"/>
    <w:rsid w:val="58E57148"/>
    <w:rsid w:val="58F84E13"/>
    <w:rsid w:val="59144BBA"/>
    <w:rsid w:val="598E4F75"/>
    <w:rsid w:val="59DE6308"/>
    <w:rsid w:val="5A3A368D"/>
    <w:rsid w:val="5A4C22DF"/>
    <w:rsid w:val="5A74363B"/>
    <w:rsid w:val="5A9C7543"/>
    <w:rsid w:val="5AA32409"/>
    <w:rsid w:val="5AB55B88"/>
    <w:rsid w:val="5ADF736E"/>
    <w:rsid w:val="5B0C1431"/>
    <w:rsid w:val="5B4E289B"/>
    <w:rsid w:val="5B515F83"/>
    <w:rsid w:val="5B585934"/>
    <w:rsid w:val="5BC45A98"/>
    <w:rsid w:val="5C01375D"/>
    <w:rsid w:val="5C7B3347"/>
    <w:rsid w:val="5CA871DC"/>
    <w:rsid w:val="5CEB6C43"/>
    <w:rsid w:val="5D0A6F57"/>
    <w:rsid w:val="5D847F84"/>
    <w:rsid w:val="5DB00CC2"/>
    <w:rsid w:val="5DD93814"/>
    <w:rsid w:val="5E0A39DE"/>
    <w:rsid w:val="5E22025D"/>
    <w:rsid w:val="5E5724B1"/>
    <w:rsid w:val="5E5D1BE2"/>
    <w:rsid w:val="5EFE4761"/>
    <w:rsid w:val="5F11499A"/>
    <w:rsid w:val="5F3A69D5"/>
    <w:rsid w:val="5F6A64DF"/>
    <w:rsid w:val="5F76692B"/>
    <w:rsid w:val="5F776135"/>
    <w:rsid w:val="5F8F5C91"/>
    <w:rsid w:val="5FCA06DF"/>
    <w:rsid w:val="5FF12EBA"/>
    <w:rsid w:val="5FF91300"/>
    <w:rsid w:val="60AB5333"/>
    <w:rsid w:val="60C74598"/>
    <w:rsid w:val="611A77D2"/>
    <w:rsid w:val="615D57A7"/>
    <w:rsid w:val="61695040"/>
    <w:rsid w:val="61814024"/>
    <w:rsid w:val="61925C4B"/>
    <w:rsid w:val="61DC387E"/>
    <w:rsid w:val="61ED22BC"/>
    <w:rsid w:val="623C3B68"/>
    <w:rsid w:val="625278A7"/>
    <w:rsid w:val="626D432B"/>
    <w:rsid w:val="629C55F4"/>
    <w:rsid w:val="62BC5585"/>
    <w:rsid w:val="62D763E6"/>
    <w:rsid w:val="62DC4AC6"/>
    <w:rsid w:val="631366C5"/>
    <w:rsid w:val="6315707E"/>
    <w:rsid w:val="632842BC"/>
    <w:rsid w:val="635D6740"/>
    <w:rsid w:val="636419F7"/>
    <w:rsid w:val="638A72BD"/>
    <w:rsid w:val="63936F8E"/>
    <w:rsid w:val="641367D5"/>
    <w:rsid w:val="6429500D"/>
    <w:rsid w:val="643B5EDC"/>
    <w:rsid w:val="64401E46"/>
    <w:rsid w:val="644C7EE7"/>
    <w:rsid w:val="64897267"/>
    <w:rsid w:val="64B24A13"/>
    <w:rsid w:val="64B62DAE"/>
    <w:rsid w:val="64F5459D"/>
    <w:rsid w:val="65181D91"/>
    <w:rsid w:val="65503B33"/>
    <w:rsid w:val="656F72ED"/>
    <w:rsid w:val="65736CD3"/>
    <w:rsid w:val="657E3B95"/>
    <w:rsid w:val="65AB237D"/>
    <w:rsid w:val="65C52944"/>
    <w:rsid w:val="65C65655"/>
    <w:rsid w:val="65E47FB6"/>
    <w:rsid w:val="65F70873"/>
    <w:rsid w:val="66546BAE"/>
    <w:rsid w:val="66681639"/>
    <w:rsid w:val="666834A0"/>
    <w:rsid w:val="667C3937"/>
    <w:rsid w:val="66AB6D5C"/>
    <w:rsid w:val="66CE65D2"/>
    <w:rsid w:val="66D3078F"/>
    <w:rsid w:val="66D658D9"/>
    <w:rsid w:val="66D86C4E"/>
    <w:rsid w:val="66EF0903"/>
    <w:rsid w:val="66F32604"/>
    <w:rsid w:val="671A650B"/>
    <w:rsid w:val="67291E54"/>
    <w:rsid w:val="67296864"/>
    <w:rsid w:val="67314BC2"/>
    <w:rsid w:val="67471326"/>
    <w:rsid w:val="67C53A84"/>
    <w:rsid w:val="68661066"/>
    <w:rsid w:val="687672B2"/>
    <w:rsid w:val="68C95AB3"/>
    <w:rsid w:val="68F71CEB"/>
    <w:rsid w:val="68FB7060"/>
    <w:rsid w:val="69081588"/>
    <w:rsid w:val="691A44C0"/>
    <w:rsid w:val="69392083"/>
    <w:rsid w:val="69506D5A"/>
    <w:rsid w:val="695704AB"/>
    <w:rsid w:val="6981548E"/>
    <w:rsid w:val="69915921"/>
    <w:rsid w:val="69E161B1"/>
    <w:rsid w:val="6A0B0A72"/>
    <w:rsid w:val="6A5B1FAE"/>
    <w:rsid w:val="6A6B64A2"/>
    <w:rsid w:val="6AA01A2B"/>
    <w:rsid w:val="6B4765A4"/>
    <w:rsid w:val="6B5457B2"/>
    <w:rsid w:val="6B78474C"/>
    <w:rsid w:val="6B7A5182"/>
    <w:rsid w:val="6C0539DB"/>
    <w:rsid w:val="6C0C2218"/>
    <w:rsid w:val="6C3F36EC"/>
    <w:rsid w:val="6C6D4327"/>
    <w:rsid w:val="6C8E5D8F"/>
    <w:rsid w:val="6CA52A6F"/>
    <w:rsid w:val="6CAE7141"/>
    <w:rsid w:val="6CBE00C1"/>
    <w:rsid w:val="6CD8195A"/>
    <w:rsid w:val="6D3A39D8"/>
    <w:rsid w:val="6D4A4418"/>
    <w:rsid w:val="6D7D7791"/>
    <w:rsid w:val="6D871DC1"/>
    <w:rsid w:val="6D9A79DD"/>
    <w:rsid w:val="6DA51701"/>
    <w:rsid w:val="6DB27A67"/>
    <w:rsid w:val="6DE102D3"/>
    <w:rsid w:val="6DF51B17"/>
    <w:rsid w:val="6DF70A42"/>
    <w:rsid w:val="6E1F5970"/>
    <w:rsid w:val="6E3E5956"/>
    <w:rsid w:val="6E496FF9"/>
    <w:rsid w:val="6E6113FC"/>
    <w:rsid w:val="6E72532C"/>
    <w:rsid w:val="6E793E3D"/>
    <w:rsid w:val="6E7A6AB0"/>
    <w:rsid w:val="6E9778E7"/>
    <w:rsid w:val="6EAA490B"/>
    <w:rsid w:val="6EFB0E7C"/>
    <w:rsid w:val="6F3D0DC8"/>
    <w:rsid w:val="6F536BD7"/>
    <w:rsid w:val="6F812706"/>
    <w:rsid w:val="6FCB069A"/>
    <w:rsid w:val="6FEF7601"/>
    <w:rsid w:val="6FF14DE2"/>
    <w:rsid w:val="700410CD"/>
    <w:rsid w:val="70271E62"/>
    <w:rsid w:val="70390720"/>
    <w:rsid w:val="706141F1"/>
    <w:rsid w:val="70707319"/>
    <w:rsid w:val="707777E6"/>
    <w:rsid w:val="709E64DB"/>
    <w:rsid w:val="713415B0"/>
    <w:rsid w:val="716C57BF"/>
    <w:rsid w:val="71921164"/>
    <w:rsid w:val="71B11EAE"/>
    <w:rsid w:val="7206164C"/>
    <w:rsid w:val="72242044"/>
    <w:rsid w:val="722B2BEF"/>
    <w:rsid w:val="72465BFA"/>
    <w:rsid w:val="72D52D9A"/>
    <w:rsid w:val="73137B83"/>
    <w:rsid w:val="73513470"/>
    <w:rsid w:val="739F46EF"/>
    <w:rsid w:val="73A66B85"/>
    <w:rsid w:val="73A819B5"/>
    <w:rsid w:val="73A9180B"/>
    <w:rsid w:val="73B26BEC"/>
    <w:rsid w:val="73B5505B"/>
    <w:rsid w:val="74047A59"/>
    <w:rsid w:val="746C076F"/>
    <w:rsid w:val="7541160A"/>
    <w:rsid w:val="75A06533"/>
    <w:rsid w:val="75DB5F99"/>
    <w:rsid w:val="75EA640A"/>
    <w:rsid w:val="75F6124B"/>
    <w:rsid w:val="760629DA"/>
    <w:rsid w:val="76361965"/>
    <w:rsid w:val="763C0116"/>
    <w:rsid w:val="76840F08"/>
    <w:rsid w:val="76852217"/>
    <w:rsid w:val="76C724FE"/>
    <w:rsid w:val="76D53E8D"/>
    <w:rsid w:val="76DA7347"/>
    <w:rsid w:val="76EE4613"/>
    <w:rsid w:val="76FB7175"/>
    <w:rsid w:val="77B072E8"/>
    <w:rsid w:val="77B07512"/>
    <w:rsid w:val="78500037"/>
    <w:rsid w:val="785D3F06"/>
    <w:rsid w:val="788051C0"/>
    <w:rsid w:val="789E6000"/>
    <w:rsid w:val="78AD3BFF"/>
    <w:rsid w:val="78B149A6"/>
    <w:rsid w:val="78CD3769"/>
    <w:rsid w:val="78D557A7"/>
    <w:rsid w:val="79010933"/>
    <w:rsid w:val="795079E9"/>
    <w:rsid w:val="79656FED"/>
    <w:rsid w:val="797521B3"/>
    <w:rsid w:val="7A015427"/>
    <w:rsid w:val="7A4E0931"/>
    <w:rsid w:val="7A6E0844"/>
    <w:rsid w:val="7AE93511"/>
    <w:rsid w:val="7B0F3BF5"/>
    <w:rsid w:val="7B30717A"/>
    <w:rsid w:val="7B763C46"/>
    <w:rsid w:val="7B8E1741"/>
    <w:rsid w:val="7B9C4225"/>
    <w:rsid w:val="7B9E2EBF"/>
    <w:rsid w:val="7C01575C"/>
    <w:rsid w:val="7C2D53D9"/>
    <w:rsid w:val="7C6A3885"/>
    <w:rsid w:val="7C786721"/>
    <w:rsid w:val="7C7E5149"/>
    <w:rsid w:val="7C7F5291"/>
    <w:rsid w:val="7C8726F3"/>
    <w:rsid w:val="7CAE2B6F"/>
    <w:rsid w:val="7CCC2D70"/>
    <w:rsid w:val="7CE90BD2"/>
    <w:rsid w:val="7CF00834"/>
    <w:rsid w:val="7D1D251B"/>
    <w:rsid w:val="7D4011E5"/>
    <w:rsid w:val="7D7C4B81"/>
    <w:rsid w:val="7D895DB8"/>
    <w:rsid w:val="7D9E405A"/>
    <w:rsid w:val="7DC856A0"/>
    <w:rsid w:val="7E1317C0"/>
    <w:rsid w:val="7E266D47"/>
    <w:rsid w:val="7E38419D"/>
    <w:rsid w:val="7EA01FFF"/>
    <w:rsid w:val="7EA915D8"/>
    <w:rsid w:val="7EBE667E"/>
    <w:rsid w:val="7F017A9C"/>
    <w:rsid w:val="7F187624"/>
    <w:rsid w:val="7F6632DE"/>
    <w:rsid w:val="7F836574"/>
    <w:rsid w:val="7FCC03E8"/>
    <w:rsid w:val="7FD701A8"/>
    <w:rsid w:val="7FDC7EAD"/>
    <w:rsid w:val="7FE16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semiHidden/>
    <w:unhideWhenUsed/>
    <w:qFormat/>
    <w:uiPriority w:val="0"/>
    <w:pPr>
      <w:keepNext/>
      <w:keepLines/>
      <w:spacing w:before="280" w:after="290" w:line="374" w:lineRule="auto"/>
      <w:outlineLvl w:val="4"/>
    </w:pPr>
    <w:rPr>
      <w:b/>
      <w:bCs/>
      <w:sz w:val="28"/>
      <w:szCs w:val="28"/>
    </w:rPr>
  </w:style>
  <w:style w:type="character" w:default="1" w:styleId="24">
    <w:name w:val="Default Paragraph Font"/>
    <w:semiHidden/>
    <w:unhideWhenUsed/>
    <w:qFormat/>
    <w:uiPriority w:val="1"/>
  </w:style>
  <w:style w:type="table" w:default="1" w:styleId="27">
    <w:name w:val="Normal Table"/>
    <w:semiHidden/>
    <w:unhideWhenUsed/>
    <w:qFormat/>
    <w:uiPriority w:val="99"/>
    <w:tblPr>
      <w:tblLayout w:type="fixed"/>
      <w:tblCellMar>
        <w:top w:w="0" w:type="dxa"/>
        <w:left w:w="108" w:type="dxa"/>
        <w:bottom w:w="0" w:type="dxa"/>
        <w:right w:w="108" w:type="dxa"/>
      </w:tblCellMar>
    </w:tblPr>
  </w:style>
  <w:style w:type="paragraph" w:styleId="7">
    <w:name w:val="Body Text First Indent"/>
    <w:basedOn w:val="8"/>
    <w:link w:val="43"/>
    <w:semiHidden/>
    <w:unhideWhenUsed/>
    <w:qFormat/>
    <w:uiPriority w:val="99"/>
    <w:pPr>
      <w:ind w:firstLine="420" w:firstLineChars="100"/>
    </w:pPr>
  </w:style>
  <w:style w:type="paragraph" w:styleId="8">
    <w:name w:val="Body Text"/>
    <w:basedOn w:val="1"/>
    <w:link w:val="40"/>
    <w:semiHidden/>
    <w:unhideWhenUsed/>
    <w:qFormat/>
    <w:uiPriority w:val="99"/>
    <w:pPr>
      <w:spacing w:after="120"/>
    </w:pPr>
  </w:style>
  <w:style w:type="paragraph" w:styleId="9">
    <w:name w:val="Normal Indent"/>
    <w:basedOn w:val="1"/>
    <w:semiHidden/>
    <w:unhideWhenUsed/>
    <w:qFormat/>
    <w:uiPriority w:val="99"/>
    <w:pPr>
      <w:ind w:firstLine="420"/>
    </w:pPr>
    <w:rPr>
      <w:rFonts w:ascii="幼圆" w:eastAsia="幼圆"/>
      <w:sz w:val="24"/>
      <w:szCs w:val="20"/>
    </w:rPr>
  </w:style>
  <w:style w:type="paragraph" w:styleId="10">
    <w:name w:val="Document Map"/>
    <w:basedOn w:val="1"/>
    <w:link w:val="47"/>
    <w:semiHidden/>
    <w:unhideWhenUsed/>
    <w:qFormat/>
    <w:uiPriority w:val="99"/>
    <w:pPr>
      <w:shd w:val="clear" w:color="auto" w:fill="000080"/>
    </w:pPr>
  </w:style>
  <w:style w:type="paragraph" w:styleId="11">
    <w:name w:val="annotation text"/>
    <w:basedOn w:val="1"/>
    <w:link w:val="35"/>
    <w:semiHidden/>
    <w:unhideWhenUsed/>
    <w:qFormat/>
    <w:uiPriority w:val="99"/>
    <w:pPr>
      <w:jc w:val="left"/>
    </w:pPr>
    <w:rPr>
      <w:rFonts w:ascii="Times New Roman" w:hAnsi="Times New Roman"/>
      <w:szCs w:val="20"/>
    </w:rPr>
  </w:style>
  <w:style w:type="paragraph" w:styleId="12">
    <w:name w:val="Body Text 3"/>
    <w:basedOn w:val="1"/>
    <w:link w:val="44"/>
    <w:semiHidden/>
    <w:unhideWhenUsed/>
    <w:qFormat/>
    <w:uiPriority w:val="99"/>
    <w:pPr>
      <w:spacing w:after="120"/>
    </w:pPr>
    <w:rPr>
      <w:sz w:val="16"/>
      <w:szCs w:val="16"/>
    </w:rPr>
  </w:style>
  <w:style w:type="paragraph" w:styleId="13">
    <w:name w:val="Closing"/>
    <w:basedOn w:val="1"/>
    <w:next w:val="1"/>
    <w:link w:val="39"/>
    <w:semiHidden/>
    <w:unhideWhenUsed/>
    <w:qFormat/>
    <w:uiPriority w:val="99"/>
    <w:pPr>
      <w:widowControl/>
      <w:ind w:left="4320"/>
      <w:jc w:val="left"/>
    </w:pPr>
    <w:rPr>
      <w:kern w:val="0"/>
      <w:sz w:val="20"/>
      <w:szCs w:val="20"/>
    </w:rPr>
  </w:style>
  <w:style w:type="paragraph" w:styleId="14">
    <w:name w:val="Body Text Indent"/>
    <w:basedOn w:val="1"/>
    <w:link w:val="41"/>
    <w:semiHidden/>
    <w:unhideWhenUsed/>
    <w:qFormat/>
    <w:uiPriority w:val="99"/>
    <w:pPr>
      <w:spacing w:after="120"/>
      <w:ind w:left="420" w:leftChars="200"/>
    </w:pPr>
  </w:style>
  <w:style w:type="paragraph" w:styleId="15">
    <w:name w:val="Plain Text"/>
    <w:basedOn w:val="1"/>
    <w:link w:val="48"/>
    <w:semiHidden/>
    <w:unhideWhenUsed/>
    <w:qFormat/>
    <w:uiPriority w:val="99"/>
    <w:rPr>
      <w:rFonts w:ascii="宋体" w:hAnsi="Courier New"/>
      <w:szCs w:val="20"/>
    </w:rPr>
  </w:style>
  <w:style w:type="paragraph" w:styleId="16">
    <w:name w:val="Date"/>
    <w:basedOn w:val="1"/>
    <w:next w:val="1"/>
    <w:link w:val="42"/>
    <w:unhideWhenUsed/>
    <w:qFormat/>
    <w:uiPriority w:val="0"/>
  </w:style>
  <w:style w:type="paragraph" w:styleId="17">
    <w:name w:val="Body Text Indent 2"/>
    <w:basedOn w:val="1"/>
    <w:link w:val="45"/>
    <w:semiHidden/>
    <w:unhideWhenUsed/>
    <w:qFormat/>
    <w:uiPriority w:val="99"/>
    <w:pPr>
      <w:spacing w:line="360" w:lineRule="auto"/>
      <w:ind w:firstLine="540" w:firstLineChars="225"/>
    </w:pPr>
    <w:rPr>
      <w:rFonts w:ascii="幼圆" w:eastAsia="幼圆"/>
      <w:sz w:val="24"/>
      <w:szCs w:val="20"/>
    </w:rPr>
  </w:style>
  <w:style w:type="paragraph" w:styleId="18">
    <w:name w:val="Balloon Text"/>
    <w:basedOn w:val="1"/>
    <w:link w:val="49"/>
    <w:semiHidden/>
    <w:unhideWhenUsed/>
    <w:qFormat/>
    <w:uiPriority w:val="99"/>
    <w:rPr>
      <w:sz w:val="18"/>
      <w:szCs w:val="18"/>
    </w:rPr>
  </w:style>
  <w:style w:type="paragraph" w:styleId="19">
    <w:name w:val="footer"/>
    <w:basedOn w:val="1"/>
    <w:link w:val="37"/>
    <w:unhideWhenUsed/>
    <w:qFormat/>
    <w:uiPriority w:val="99"/>
    <w:pPr>
      <w:widowControl/>
      <w:tabs>
        <w:tab w:val="center" w:pos="4153"/>
        <w:tab w:val="right" w:pos="8306"/>
      </w:tabs>
      <w:snapToGrid w:val="0"/>
      <w:jc w:val="left"/>
    </w:pPr>
    <w:rPr>
      <w:rFonts w:ascii="宋体" w:hAnsi="宋体"/>
      <w:kern w:val="0"/>
      <w:sz w:val="18"/>
      <w:szCs w:val="18"/>
    </w:rPr>
  </w:style>
  <w:style w:type="paragraph" w:styleId="20">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Body Text Indent 3"/>
    <w:basedOn w:val="1"/>
    <w:link w:val="46"/>
    <w:semiHidden/>
    <w:unhideWhenUsed/>
    <w:qFormat/>
    <w:uiPriority w:val="99"/>
    <w:pPr>
      <w:widowControl/>
      <w:spacing w:line="300" w:lineRule="auto"/>
      <w:ind w:firstLine="480" w:firstLineChars="200"/>
    </w:pPr>
    <w:rPr>
      <w:rFonts w:ascii="宋体" w:hAnsi="宋体"/>
      <w:bCs/>
      <w:kern w:val="0"/>
      <w:sz w:val="24"/>
    </w:rPr>
  </w:style>
  <w:style w:type="paragraph" w:styleId="22">
    <w:name w:val="Normal (Web)"/>
    <w:basedOn w:val="1"/>
    <w:qFormat/>
    <w:uiPriority w:val="0"/>
    <w:pPr>
      <w:spacing w:before="100" w:beforeAutospacing="1" w:after="100" w:afterAutospacing="1"/>
      <w:jc w:val="left"/>
    </w:pPr>
    <w:rPr>
      <w:kern w:val="0"/>
      <w:sz w:val="24"/>
      <w:szCs w:val="24"/>
    </w:rPr>
  </w:style>
  <w:style w:type="paragraph" w:styleId="23">
    <w:name w:val="Title"/>
    <w:basedOn w:val="1"/>
    <w:next w:val="1"/>
    <w:link w:val="38"/>
    <w:qFormat/>
    <w:uiPriority w:val="10"/>
    <w:pPr>
      <w:spacing w:before="240" w:after="60"/>
      <w:jc w:val="center"/>
      <w:outlineLvl w:val="0"/>
    </w:pPr>
    <w:rPr>
      <w:rFonts w:ascii="Cambria" w:hAnsi="Cambria"/>
      <w:b/>
      <w:bCs/>
      <w:sz w:val="32"/>
      <w:szCs w:val="32"/>
    </w:rPr>
  </w:style>
  <w:style w:type="character" w:styleId="25">
    <w:name w:val="Strong"/>
    <w:qFormat/>
    <w:uiPriority w:val="0"/>
    <w:rPr>
      <w:b/>
    </w:rPr>
  </w:style>
  <w:style w:type="character" w:styleId="26">
    <w:name w:val="Hyperlink"/>
    <w:unhideWhenUsed/>
    <w:qFormat/>
    <w:uiPriority w:val="0"/>
    <w:rPr>
      <w:color w:val="0000FF"/>
      <w:u w:val="single"/>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9">
    <w:name w:val="标题 1 字符"/>
    <w:basedOn w:val="24"/>
    <w:link w:val="2"/>
    <w:qFormat/>
    <w:uiPriority w:val="0"/>
    <w:rPr>
      <w:rFonts w:ascii="Times New Roman" w:hAnsi="Times New Roman" w:eastAsia="宋体" w:cs="Times New Roman"/>
      <w:b/>
      <w:kern w:val="44"/>
      <w:sz w:val="44"/>
      <w:szCs w:val="20"/>
    </w:rPr>
  </w:style>
  <w:style w:type="character" w:customStyle="1" w:styleId="30">
    <w:name w:val="标题 2 字符"/>
    <w:basedOn w:val="24"/>
    <w:link w:val="3"/>
    <w:qFormat/>
    <w:uiPriority w:val="0"/>
    <w:rPr>
      <w:rFonts w:ascii="Arial" w:hAnsi="Arial" w:eastAsia="黑体" w:cs="Times New Roman"/>
      <w:b/>
      <w:sz w:val="32"/>
      <w:szCs w:val="20"/>
    </w:rPr>
  </w:style>
  <w:style w:type="character" w:customStyle="1" w:styleId="31">
    <w:name w:val="标题 3 字符"/>
    <w:basedOn w:val="24"/>
    <w:link w:val="4"/>
    <w:qFormat/>
    <w:uiPriority w:val="0"/>
    <w:rPr>
      <w:rFonts w:ascii="Times New Roman" w:hAnsi="Times New Roman" w:eastAsia="宋体" w:cs="Times New Roman"/>
      <w:b/>
      <w:sz w:val="32"/>
      <w:szCs w:val="20"/>
    </w:rPr>
  </w:style>
  <w:style w:type="character" w:customStyle="1" w:styleId="32">
    <w:name w:val="标题 4 字符"/>
    <w:basedOn w:val="24"/>
    <w:link w:val="5"/>
    <w:semiHidden/>
    <w:qFormat/>
    <w:uiPriority w:val="0"/>
    <w:rPr>
      <w:rFonts w:ascii="Arial" w:hAnsi="Arial" w:eastAsia="黑体" w:cs="Times New Roman"/>
      <w:b/>
      <w:bCs/>
      <w:sz w:val="28"/>
      <w:szCs w:val="28"/>
    </w:rPr>
  </w:style>
  <w:style w:type="character" w:customStyle="1" w:styleId="33">
    <w:name w:val="标题 5 字符"/>
    <w:basedOn w:val="24"/>
    <w:link w:val="6"/>
    <w:semiHidden/>
    <w:qFormat/>
    <w:uiPriority w:val="0"/>
    <w:rPr>
      <w:rFonts w:ascii="Calibri" w:hAnsi="Calibri" w:eastAsia="宋体" w:cs="Times New Roman"/>
      <w:b/>
      <w:bCs/>
      <w:sz w:val="28"/>
      <w:szCs w:val="28"/>
    </w:rPr>
  </w:style>
  <w:style w:type="paragraph" w:customStyle="1" w:styleId="34">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4"/>
    <w:link w:val="11"/>
    <w:semiHidden/>
    <w:qFormat/>
    <w:uiPriority w:val="99"/>
    <w:rPr>
      <w:rFonts w:ascii="Times New Roman" w:hAnsi="Times New Roman" w:eastAsia="宋体" w:cs="Times New Roman"/>
      <w:szCs w:val="20"/>
    </w:rPr>
  </w:style>
  <w:style w:type="character" w:customStyle="1" w:styleId="36">
    <w:name w:val="页眉 字符"/>
    <w:basedOn w:val="24"/>
    <w:link w:val="20"/>
    <w:qFormat/>
    <w:uiPriority w:val="99"/>
    <w:rPr>
      <w:rFonts w:ascii="Calibri" w:hAnsi="Calibri" w:eastAsia="宋体" w:cs="Times New Roman"/>
      <w:sz w:val="18"/>
      <w:szCs w:val="18"/>
    </w:rPr>
  </w:style>
  <w:style w:type="character" w:customStyle="1" w:styleId="37">
    <w:name w:val="页脚 字符"/>
    <w:basedOn w:val="24"/>
    <w:link w:val="19"/>
    <w:qFormat/>
    <w:uiPriority w:val="99"/>
    <w:rPr>
      <w:rFonts w:ascii="宋体" w:hAnsi="宋体" w:eastAsia="宋体" w:cs="Times New Roman"/>
      <w:kern w:val="0"/>
      <w:sz w:val="18"/>
      <w:szCs w:val="18"/>
    </w:rPr>
  </w:style>
  <w:style w:type="character" w:customStyle="1" w:styleId="38">
    <w:name w:val="标题 字符"/>
    <w:basedOn w:val="24"/>
    <w:link w:val="23"/>
    <w:qFormat/>
    <w:uiPriority w:val="10"/>
    <w:rPr>
      <w:rFonts w:ascii="Cambria" w:hAnsi="Cambria" w:eastAsia="宋体" w:cs="Times New Roman"/>
      <w:b/>
      <w:bCs/>
      <w:sz w:val="32"/>
      <w:szCs w:val="32"/>
    </w:rPr>
  </w:style>
  <w:style w:type="character" w:customStyle="1" w:styleId="39">
    <w:name w:val="结束语 字符"/>
    <w:basedOn w:val="24"/>
    <w:link w:val="13"/>
    <w:semiHidden/>
    <w:qFormat/>
    <w:uiPriority w:val="99"/>
    <w:rPr>
      <w:rFonts w:ascii="Calibri" w:hAnsi="Calibri" w:eastAsia="宋体" w:cs="Times New Roman"/>
      <w:kern w:val="0"/>
      <w:sz w:val="20"/>
      <w:szCs w:val="20"/>
    </w:rPr>
  </w:style>
  <w:style w:type="character" w:customStyle="1" w:styleId="40">
    <w:name w:val="正文文本 字符"/>
    <w:basedOn w:val="24"/>
    <w:link w:val="8"/>
    <w:semiHidden/>
    <w:qFormat/>
    <w:uiPriority w:val="99"/>
    <w:rPr>
      <w:rFonts w:ascii="Calibri" w:hAnsi="Calibri" w:eastAsia="宋体" w:cs="Times New Roman"/>
    </w:rPr>
  </w:style>
  <w:style w:type="character" w:customStyle="1" w:styleId="41">
    <w:name w:val="正文文本缩进 字符"/>
    <w:basedOn w:val="24"/>
    <w:link w:val="14"/>
    <w:semiHidden/>
    <w:qFormat/>
    <w:uiPriority w:val="99"/>
    <w:rPr>
      <w:rFonts w:ascii="Calibri" w:hAnsi="Calibri" w:eastAsia="宋体" w:cs="Times New Roman"/>
    </w:rPr>
  </w:style>
  <w:style w:type="character" w:customStyle="1" w:styleId="42">
    <w:name w:val="日期 字符"/>
    <w:basedOn w:val="24"/>
    <w:link w:val="16"/>
    <w:semiHidden/>
    <w:qFormat/>
    <w:uiPriority w:val="99"/>
    <w:rPr>
      <w:rFonts w:ascii="Calibri" w:hAnsi="Calibri" w:eastAsia="宋体" w:cs="Times New Roman"/>
    </w:rPr>
  </w:style>
  <w:style w:type="character" w:customStyle="1" w:styleId="43">
    <w:name w:val="正文首行缩进 字符"/>
    <w:basedOn w:val="40"/>
    <w:link w:val="7"/>
    <w:semiHidden/>
    <w:qFormat/>
    <w:uiPriority w:val="99"/>
    <w:rPr>
      <w:rFonts w:ascii="Calibri" w:hAnsi="Calibri" w:eastAsia="宋体" w:cs="Times New Roman"/>
    </w:rPr>
  </w:style>
  <w:style w:type="character" w:customStyle="1" w:styleId="44">
    <w:name w:val="正文文本 3 字符"/>
    <w:basedOn w:val="24"/>
    <w:link w:val="12"/>
    <w:semiHidden/>
    <w:qFormat/>
    <w:uiPriority w:val="99"/>
    <w:rPr>
      <w:rFonts w:ascii="Calibri" w:hAnsi="Calibri" w:eastAsia="宋体" w:cs="Times New Roman"/>
      <w:sz w:val="16"/>
      <w:szCs w:val="16"/>
    </w:rPr>
  </w:style>
  <w:style w:type="character" w:customStyle="1" w:styleId="45">
    <w:name w:val="正文文本缩进 2 字符"/>
    <w:basedOn w:val="24"/>
    <w:link w:val="17"/>
    <w:semiHidden/>
    <w:qFormat/>
    <w:uiPriority w:val="99"/>
    <w:rPr>
      <w:rFonts w:ascii="幼圆" w:hAnsi="Calibri" w:eastAsia="幼圆" w:cs="Times New Roman"/>
      <w:sz w:val="24"/>
      <w:szCs w:val="20"/>
    </w:rPr>
  </w:style>
  <w:style w:type="character" w:customStyle="1" w:styleId="46">
    <w:name w:val="正文文本缩进 3 字符"/>
    <w:basedOn w:val="24"/>
    <w:link w:val="21"/>
    <w:semiHidden/>
    <w:qFormat/>
    <w:uiPriority w:val="99"/>
    <w:rPr>
      <w:rFonts w:ascii="宋体" w:hAnsi="宋体" w:eastAsia="宋体" w:cs="Times New Roman"/>
      <w:bCs/>
      <w:kern w:val="0"/>
      <w:sz w:val="24"/>
    </w:rPr>
  </w:style>
  <w:style w:type="character" w:customStyle="1" w:styleId="47">
    <w:name w:val="文档结构图 字符"/>
    <w:basedOn w:val="24"/>
    <w:link w:val="10"/>
    <w:semiHidden/>
    <w:qFormat/>
    <w:uiPriority w:val="99"/>
    <w:rPr>
      <w:rFonts w:ascii="Calibri" w:hAnsi="Calibri" w:eastAsia="宋体" w:cs="Times New Roman"/>
      <w:shd w:val="clear" w:color="auto" w:fill="000080"/>
    </w:rPr>
  </w:style>
  <w:style w:type="character" w:customStyle="1" w:styleId="48">
    <w:name w:val="纯文本 字符"/>
    <w:basedOn w:val="24"/>
    <w:link w:val="15"/>
    <w:semiHidden/>
    <w:qFormat/>
    <w:uiPriority w:val="99"/>
    <w:rPr>
      <w:rFonts w:ascii="宋体" w:hAnsi="Courier New" w:eastAsia="宋体" w:cs="Times New Roman"/>
      <w:szCs w:val="20"/>
    </w:rPr>
  </w:style>
  <w:style w:type="character" w:customStyle="1" w:styleId="49">
    <w:name w:val="批注框文本 字符"/>
    <w:basedOn w:val="24"/>
    <w:link w:val="18"/>
    <w:semiHidden/>
    <w:qFormat/>
    <w:uiPriority w:val="99"/>
    <w:rPr>
      <w:rFonts w:ascii="Calibri" w:hAnsi="Calibri" w:eastAsia="宋体" w:cs="Times New Roman"/>
      <w:sz w:val="18"/>
      <w:szCs w:val="18"/>
    </w:rPr>
  </w:style>
  <w:style w:type="character" w:customStyle="1" w:styleId="50">
    <w:name w:val="无间隔 字符"/>
    <w:link w:val="51"/>
    <w:qFormat/>
    <w:locked/>
    <w:uiPriority w:val="0"/>
    <w:rPr>
      <w:rFonts w:ascii="Calibri" w:hAnsi="Calibri" w:cs="Calibri"/>
      <w:sz w:val="22"/>
    </w:rPr>
  </w:style>
  <w:style w:type="paragraph" w:styleId="51">
    <w:name w:val="No Spacing"/>
    <w:link w:val="50"/>
    <w:qFormat/>
    <w:uiPriority w:val="0"/>
    <w:rPr>
      <w:rFonts w:ascii="Calibri" w:hAnsi="Calibri" w:cs="Calibri" w:eastAsiaTheme="minorEastAsia"/>
      <w:kern w:val="2"/>
      <w:sz w:val="22"/>
      <w:szCs w:val="22"/>
      <w:lang w:val="en-US" w:eastAsia="zh-CN" w:bidi="ar-SA"/>
    </w:rPr>
  </w:style>
  <w:style w:type="paragraph" w:styleId="52">
    <w:name w:val="List Paragraph"/>
    <w:basedOn w:val="1"/>
    <w:qFormat/>
    <w:uiPriority w:val="99"/>
    <w:pPr>
      <w:ind w:firstLine="420" w:firstLineChars="200"/>
    </w:pPr>
  </w:style>
  <w:style w:type="paragraph" w:customStyle="1" w:styleId="53">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qFormat/>
    <w:uiPriority w:val="99"/>
    <w:pPr>
      <w:ind w:firstLine="420" w:firstLineChars="200"/>
    </w:pPr>
  </w:style>
  <w:style w:type="paragraph" w:customStyle="1" w:styleId="55">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7">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qFormat/>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qFormat/>
    <w:uiPriority w:val="99"/>
    <w:pPr>
      <w:tabs>
        <w:tab w:val="left" w:pos="432"/>
      </w:tabs>
      <w:ind w:left="432" w:hanging="432"/>
    </w:pPr>
    <w:rPr>
      <w:rFonts w:ascii="Tahoma" w:hAnsi="Tahoma"/>
      <w:sz w:val="24"/>
      <w:szCs w:val="20"/>
    </w:rPr>
  </w:style>
  <w:style w:type="paragraph" w:customStyle="1" w:styleId="61">
    <w:name w:val="正文文字2"/>
    <w:basedOn w:val="8"/>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qFormat/>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qFormat/>
    <w:uiPriority w:val="99"/>
    <w:pPr>
      <w:widowControl/>
      <w:spacing w:before="150" w:after="150"/>
      <w:jc w:val="left"/>
    </w:pPr>
    <w:rPr>
      <w:rFonts w:ascii="宋体" w:hAnsi="宋体" w:cs="宋体"/>
      <w:kern w:val="0"/>
      <w:sz w:val="24"/>
    </w:rPr>
  </w:style>
  <w:style w:type="paragraph" w:customStyle="1" w:styleId="66">
    <w:name w:val="大汉方案正文 Char"/>
    <w:basedOn w:val="1"/>
    <w:qFormat/>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qFormat/>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qFormat/>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10"/>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4"/>
    <w:qFormat/>
    <w:uiPriority w:val="0"/>
  </w:style>
  <w:style w:type="character" w:customStyle="1" w:styleId="76">
    <w:name w:val="apple-converted-space"/>
    <w:basedOn w:val="24"/>
    <w:qFormat/>
    <w:uiPriority w:val="0"/>
  </w:style>
  <w:style w:type="character" w:customStyle="1" w:styleId="77">
    <w:name w:val="标题 2 Char Char Char"/>
    <w:qFormat/>
    <w:uiPriority w:val="0"/>
    <w:rPr>
      <w:rFonts w:hint="default" w:ascii="Arial" w:hAnsi="Arial" w:eastAsia="宋体" w:cs="Arial"/>
      <w:b/>
      <w:bCs/>
      <w:i/>
      <w:iCs/>
      <w:sz w:val="28"/>
      <w:szCs w:val="28"/>
      <w:lang w:val="en-US" w:eastAsia="zh-CN" w:bidi="ar-SA"/>
    </w:rPr>
  </w:style>
  <w:style w:type="character" w:customStyle="1" w:styleId="78">
    <w:name w:val="b122"/>
    <w:qFormat/>
    <w:uiPriority w:val="0"/>
    <w:rPr>
      <w:rFonts w:hint="default" w:ascii="Arial" w:hAnsi="Arial" w:cs="Arial"/>
      <w:color w:val="FFFFFF"/>
      <w:sz w:val="18"/>
      <w:szCs w:val="18"/>
    </w:rPr>
  </w:style>
  <w:style w:type="character" w:customStyle="1" w:styleId="79">
    <w:name w:val="ca-11"/>
    <w:qFormat/>
    <w:uiPriority w:val="0"/>
    <w:rPr>
      <w:rFonts w:hint="eastAsia" w:ascii="宋体" w:hAnsi="宋体" w:eastAsia="宋体"/>
      <w:sz w:val="24"/>
      <w:szCs w:val="24"/>
    </w:rPr>
  </w:style>
  <w:style w:type="character" w:customStyle="1" w:styleId="80">
    <w:name w:val="blue"/>
    <w:basedOn w:val="24"/>
    <w:qFormat/>
    <w:uiPriority w:val="0"/>
  </w:style>
  <w:style w:type="character" w:customStyle="1" w:styleId="81">
    <w:name w:val="普通文字1 Char1"/>
    <w:qFormat/>
    <w:uiPriority w:val="0"/>
    <w:rPr>
      <w:rFonts w:hint="default" w:ascii="Courier New" w:hAnsi="Courier New" w:eastAsia="宋体" w:cs="Courier New"/>
      <w:kern w:val="2"/>
      <w:sz w:val="21"/>
      <w:lang w:val="en-US" w:eastAsia="zh-CN" w:bidi="ar-SA"/>
    </w:rPr>
  </w:style>
  <w:style w:type="character" w:customStyle="1" w:styleId="82">
    <w:name w:val="all sel"/>
    <w:basedOn w:val="24"/>
    <w:qFormat/>
    <w:uiPriority w:val="0"/>
  </w:style>
  <w:style w:type="character" w:customStyle="1" w:styleId="83">
    <w:name w:val="style81"/>
    <w:qFormat/>
    <w:uiPriority w:val="0"/>
    <w:rPr>
      <w:sz w:val="21"/>
      <w:szCs w:val="21"/>
    </w:rPr>
  </w:style>
  <w:style w:type="character" w:customStyle="1" w:styleId="84">
    <w:name w:val="h121"/>
    <w:qFormat/>
    <w:uiPriority w:val="0"/>
    <w:rPr>
      <w:color w:val="333333"/>
    </w:rPr>
  </w:style>
  <w:style w:type="character" w:customStyle="1" w:styleId="85">
    <w:name w:val="ca-2"/>
    <w:basedOn w:val="24"/>
    <w:qFormat/>
    <w:uiPriority w:val="0"/>
  </w:style>
  <w:style w:type="character" w:customStyle="1" w:styleId="86">
    <w:name w:val="标题 字符1"/>
    <w:basedOn w:val="24"/>
    <w:qFormat/>
    <w:uiPriority w:val="10"/>
    <w:rPr>
      <w:rFonts w:hint="eastAsia"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274</TotalTime>
  <ScaleCrop>false</ScaleCrop>
  <LinksUpToDate>false</LinksUpToDate>
  <CharactersWithSpaces>14250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月光照灯</cp:lastModifiedBy>
  <cp:lastPrinted>2019-02-14T06:37:00Z</cp:lastPrinted>
  <dcterms:modified xsi:type="dcterms:W3CDTF">2019-02-14T10:30:58Z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