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E80984">
      <w:pPr>
        <w:pStyle w:val="5"/>
        <w:pageBreakBefore w:val="0"/>
        <w:numPr>
          <w:ilvl w:val="0"/>
          <w:numId w:val="0"/>
        </w:numPr>
        <w:kinsoku/>
        <w:wordWrap/>
        <w:overflowPunct/>
        <w:topLinePunct w:val="0"/>
        <w:autoSpaceDE/>
        <w:autoSpaceDN/>
        <w:bidi w:val="0"/>
        <w:adjustRightInd/>
        <w:snapToGrid/>
        <w:spacing w:line="500" w:lineRule="exact"/>
        <w:ind w:leftChars="0"/>
        <w:jc w:val="center"/>
        <w:outlineLvl w:val="0"/>
        <w:rPr>
          <w:rFonts w:hint="eastAsia"/>
          <w:lang w:val="en-US" w:eastAsia="zh-CN"/>
        </w:rPr>
      </w:pPr>
      <w:bookmarkStart w:id="0" w:name="_Toc4133"/>
      <w:r>
        <w:rPr>
          <w:rFonts w:hint="eastAsia"/>
          <w:lang w:val="en-US" w:eastAsia="zh-CN"/>
        </w:rPr>
        <w:t>亳州市车管所机房动力环境系统设备采购需求</w:t>
      </w:r>
    </w:p>
    <w:p w14:paraId="7B264008">
      <w:pPr>
        <w:pStyle w:val="6"/>
        <w:pageBreakBefore w:val="0"/>
        <w:numPr>
          <w:ilvl w:val="1"/>
          <w:numId w:val="1"/>
        </w:numPr>
        <w:kinsoku/>
        <w:wordWrap/>
        <w:overflowPunct/>
        <w:topLinePunct w:val="0"/>
        <w:autoSpaceDE/>
        <w:autoSpaceDN/>
        <w:bidi w:val="0"/>
        <w:adjustRightInd/>
        <w:snapToGrid/>
        <w:spacing w:line="500" w:lineRule="exact"/>
        <w:ind w:left="777" w:leftChars="0" w:hanging="567" w:firstLineChars="0"/>
        <w:rPr>
          <w:rFonts w:hint="eastAsia" w:asciiTheme="minorEastAsia" w:hAnsiTheme="minorEastAsia" w:eastAsiaTheme="minorEastAsia" w:cstheme="minorEastAsia"/>
          <w:color w:val="auto"/>
          <w:sz w:val="28"/>
          <w:szCs w:val="28"/>
        </w:rPr>
      </w:pPr>
      <w:bookmarkStart w:id="1" w:name="_Toc30355"/>
      <w:bookmarkStart w:id="2" w:name="_Toc8077"/>
      <w:bookmarkStart w:id="3" w:name="_Toc11434"/>
      <w:r>
        <w:rPr>
          <w:rFonts w:hint="eastAsia" w:asciiTheme="minorEastAsia" w:hAnsiTheme="minorEastAsia" w:eastAsiaTheme="minorEastAsia" w:cstheme="minorEastAsia"/>
          <w:color w:val="auto"/>
          <w:sz w:val="28"/>
          <w:szCs w:val="28"/>
        </w:rPr>
        <w:t>项目工期要求</w:t>
      </w:r>
      <w:bookmarkEnd w:id="1"/>
      <w:bookmarkEnd w:id="2"/>
      <w:bookmarkEnd w:id="3"/>
    </w:p>
    <w:p w14:paraId="15730E88">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color w:val="auto"/>
          <w:sz w:val="28"/>
          <w:szCs w:val="28"/>
          <w:lang w:eastAsia="zh-CN"/>
        </w:rPr>
      </w:pPr>
      <w:r>
        <w:rPr>
          <w:rFonts w:hint="eastAsia" w:asciiTheme="minorEastAsia" w:hAnsiTheme="minorEastAsia" w:eastAsiaTheme="minorEastAsia" w:cstheme="minorEastAsia"/>
          <w:color w:val="auto"/>
          <w:sz w:val="28"/>
          <w:szCs w:val="28"/>
        </w:rPr>
        <w:t>自签订合同之日起，</w:t>
      </w:r>
      <w:r>
        <w:rPr>
          <w:rFonts w:hint="eastAsia" w:asciiTheme="minorEastAsia" w:hAnsiTheme="minorEastAsia" w:cstheme="minorEastAsia"/>
          <w:color w:val="auto"/>
          <w:sz w:val="28"/>
          <w:szCs w:val="28"/>
          <w:lang w:val="en-US" w:eastAsia="zh-CN"/>
        </w:rPr>
        <w:t>7</w:t>
      </w:r>
      <w:r>
        <w:rPr>
          <w:rFonts w:hint="eastAsia" w:asciiTheme="minorEastAsia" w:hAnsiTheme="minorEastAsia" w:eastAsiaTheme="minorEastAsia" w:cstheme="minorEastAsia"/>
          <w:color w:val="auto"/>
          <w:sz w:val="28"/>
          <w:szCs w:val="28"/>
        </w:rPr>
        <w:t>日历天建设完成。</w:t>
      </w:r>
    </w:p>
    <w:p w14:paraId="593109DE">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投标供应商应按照以上要求，制定可行的项目实施计划。</w:t>
      </w:r>
    </w:p>
    <w:p w14:paraId="30D3FF3C">
      <w:pPr>
        <w:pStyle w:val="2"/>
        <w:ind w:left="559" w:leftChars="266" w:firstLine="0" w:firstLineChars="0"/>
        <w:rPr>
          <w:rFonts w:hint="default" w:eastAsiaTheme="minorEastAsia"/>
          <w:lang w:val="en-US" w:eastAsia="zh-CN"/>
        </w:rPr>
      </w:pPr>
      <w:r>
        <w:rPr>
          <w:rFonts w:hint="eastAsia" w:asciiTheme="minorEastAsia" w:hAnsiTheme="minorEastAsia" w:cstheme="minorEastAsia"/>
          <w:color w:val="auto"/>
          <w:sz w:val="28"/>
          <w:szCs w:val="28"/>
          <w:lang w:val="en-US" w:eastAsia="zh-CN"/>
        </w:rPr>
        <w:t>需要和运营商、消防、水电保持无缝对接，不能影响车管所业务办理，如造成损失，有中标单位负责。</w:t>
      </w:r>
    </w:p>
    <w:p w14:paraId="785F6351">
      <w:pPr>
        <w:pStyle w:val="6"/>
        <w:pageBreakBefore w:val="0"/>
        <w:numPr>
          <w:ilvl w:val="1"/>
          <w:numId w:val="1"/>
        </w:numPr>
        <w:kinsoku/>
        <w:wordWrap/>
        <w:overflowPunct/>
        <w:topLinePunct w:val="0"/>
        <w:autoSpaceDE/>
        <w:autoSpaceDN/>
        <w:bidi w:val="0"/>
        <w:adjustRightInd/>
        <w:snapToGrid/>
        <w:spacing w:line="500" w:lineRule="exact"/>
        <w:ind w:left="777" w:leftChars="0" w:hanging="567" w:firstLineChars="0"/>
        <w:rPr>
          <w:rFonts w:hint="eastAsia" w:asciiTheme="minorEastAsia" w:hAnsiTheme="minorEastAsia" w:eastAsiaTheme="minorEastAsia" w:cstheme="minorEastAsia"/>
          <w:color w:val="auto"/>
          <w:sz w:val="28"/>
          <w:szCs w:val="28"/>
        </w:rPr>
      </w:pPr>
      <w:bookmarkStart w:id="4" w:name="_Toc23519"/>
      <w:bookmarkStart w:id="5" w:name="_Toc20815"/>
      <w:r>
        <w:rPr>
          <w:rFonts w:hint="eastAsia" w:asciiTheme="minorEastAsia" w:hAnsiTheme="minorEastAsia" w:eastAsiaTheme="minorEastAsia" w:cstheme="minorEastAsia"/>
          <w:color w:val="auto"/>
          <w:sz w:val="28"/>
          <w:szCs w:val="28"/>
        </w:rPr>
        <w:t>项目人员要求</w:t>
      </w:r>
      <w:bookmarkEnd w:id="4"/>
      <w:bookmarkEnd w:id="5"/>
    </w:p>
    <w:p w14:paraId="1A691781">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投标供应商须提供详细的项目实施人员安排，人员组成应包括：项目经理、</w:t>
      </w:r>
      <w:r>
        <w:rPr>
          <w:rFonts w:hint="eastAsia" w:asciiTheme="minorEastAsia" w:hAnsiTheme="minorEastAsia" w:eastAsiaTheme="minorEastAsia" w:cstheme="minorEastAsia"/>
          <w:color w:val="auto"/>
          <w:sz w:val="28"/>
          <w:szCs w:val="28"/>
          <w:lang w:val="en-US" w:eastAsia="zh-CN"/>
        </w:rPr>
        <w:t>项目实施等人员</w:t>
      </w:r>
      <w:r>
        <w:rPr>
          <w:rFonts w:hint="eastAsia" w:asciiTheme="minorEastAsia" w:hAnsiTheme="minorEastAsia" w:eastAsiaTheme="minorEastAsia" w:cstheme="minorEastAsia"/>
          <w:color w:val="auto"/>
          <w:sz w:val="28"/>
          <w:szCs w:val="28"/>
        </w:rPr>
        <w:t>。</w:t>
      </w:r>
    </w:p>
    <w:p w14:paraId="64009D39">
      <w:pPr>
        <w:pStyle w:val="6"/>
        <w:pageBreakBefore w:val="0"/>
        <w:numPr>
          <w:ilvl w:val="1"/>
          <w:numId w:val="1"/>
        </w:numPr>
        <w:kinsoku/>
        <w:wordWrap/>
        <w:overflowPunct/>
        <w:topLinePunct w:val="0"/>
        <w:autoSpaceDE/>
        <w:autoSpaceDN/>
        <w:bidi w:val="0"/>
        <w:adjustRightInd/>
        <w:snapToGrid/>
        <w:spacing w:line="500" w:lineRule="exact"/>
        <w:ind w:left="777" w:leftChars="0" w:hanging="567" w:firstLineChars="0"/>
        <w:rPr>
          <w:rFonts w:hint="eastAsia" w:asciiTheme="minorEastAsia" w:hAnsiTheme="minorEastAsia" w:eastAsiaTheme="minorEastAsia" w:cstheme="minorEastAsia"/>
          <w:color w:val="auto"/>
          <w:sz w:val="28"/>
          <w:szCs w:val="28"/>
        </w:rPr>
      </w:pPr>
      <w:bookmarkStart w:id="6" w:name="_Toc18725"/>
      <w:bookmarkStart w:id="7" w:name="_Toc17293"/>
      <w:bookmarkStart w:id="8" w:name="_Toc816"/>
      <w:r>
        <w:rPr>
          <w:rFonts w:hint="eastAsia" w:asciiTheme="minorEastAsia" w:hAnsiTheme="minorEastAsia" w:eastAsiaTheme="minorEastAsia" w:cstheme="minorEastAsia"/>
          <w:color w:val="auto"/>
          <w:sz w:val="28"/>
          <w:szCs w:val="28"/>
        </w:rPr>
        <w:t>项目培训要求</w:t>
      </w:r>
      <w:bookmarkEnd w:id="6"/>
      <w:bookmarkEnd w:id="7"/>
      <w:bookmarkEnd w:id="8"/>
    </w:p>
    <w:p w14:paraId="57A772A4">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供应商负责对采购人相关部门及指定的用户进行培训</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lang w:val="en-US" w:eastAsia="zh-CN"/>
        </w:rPr>
        <w:t>并提供相关设备及系统的操作手册</w:t>
      </w:r>
      <w:r>
        <w:rPr>
          <w:rFonts w:hint="eastAsia" w:asciiTheme="minorEastAsia" w:hAnsiTheme="minorEastAsia" w:eastAsiaTheme="minorEastAsia" w:cstheme="minorEastAsia"/>
          <w:color w:val="auto"/>
          <w:sz w:val="28"/>
          <w:szCs w:val="28"/>
        </w:rPr>
        <w:t>。培训的主要内容应侧重于对系统的使用及系统的基本维护、常见问题及解决办法等方面，并提供实践性的操作，使受训者熟悉系统设计的思路，掌握系统的操作和维护等。</w:t>
      </w:r>
    </w:p>
    <w:p w14:paraId="327EB97D">
      <w:pPr>
        <w:pStyle w:val="6"/>
        <w:pageBreakBefore w:val="0"/>
        <w:numPr>
          <w:ilvl w:val="1"/>
          <w:numId w:val="1"/>
        </w:numPr>
        <w:kinsoku/>
        <w:wordWrap/>
        <w:overflowPunct/>
        <w:topLinePunct w:val="0"/>
        <w:autoSpaceDE/>
        <w:autoSpaceDN/>
        <w:bidi w:val="0"/>
        <w:adjustRightInd/>
        <w:snapToGrid/>
        <w:spacing w:line="500" w:lineRule="exact"/>
        <w:ind w:left="777" w:leftChars="0" w:hanging="567" w:firstLineChars="0"/>
        <w:rPr>
          <w:rFonts w:hint="eastAsia" w:asciiTheme="minorEastAsia" w:hAnsiTheme="minorEastAsia" w:eastAsiaTheme="minorEastAsia" w:cstheme="minorEastAsia"/>
          <w:color w:val="auto"/>
          <w:sz w:val="28"/>
          <w:szCs w:val="28"/>
        </w:rPr>
      </w:pPr>
      <w:bookmarkStart w:id="9" w:name="_Toc15434"/>
      <w:bookmarkStart w:id="10" w:name="_Toc11462"/>
      <w:bookmarkStart w:id="11" w:name="_Toc12896"/>
      <w:r>
        <w:rPr>
          <w:rFonts w:hint="eastAsia" w:asciiTheme="minorEastAsia" w:hAnsiTheme="minorEastAsia" w:eastAsiaTheme="minorEastAsia" w:cstheme="minorEastAsia"/>
          <w:color w:val="auto"/>
          <w:sz w:val="28"/>
          <w:szCs w:val="28"/>
        </w:rPr>
        <w:t>项目维保要求</w:t>
      </w:r>
      <w:bookmarkEnd w:id="9"/>
      <w:bookmarkEnd w:id="10"/>
      <w:bookmarkEnd w:id="11"/>
    </w:p>
    <w:p w14:paraId="1203825D">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投标供应商须为本项目提供</w:t>
      </w:r>
      <w:r>
        <w:rPr>
          <w:rFonts w:hint="eastAsia" w:asciiTheme="minorEastAsia" w:hAnsiTheme="minorEastAsia" w:cstheme="minorEastAsia"/>
          <w:color w:val="auto"/>
          <w:sz w:val="28"/>
          <w:szCs w:val="28"/>
          <w:lang w:val="en-US" w:eastAsia="zh-CN"/>
        </w:rPr>
        <w:t>三</w:t>
      </w:r>
      <w:r>
        <w:rPr>
          <w:rFonts w:hint="eastAsia" w:asciiTheme="minorEastAsia" w:hAnsiTheme="minorEastAsia" w:eastAsiaTheme="minorEastAsia" w:cstheme="minorEastAsia"/>
          <w:color w:val="auto"/>
          <w:sz w:val="28"/>
          <w:szCs w:val="28"/>
        </w:rPr>
        <w:t>年质保（质保期按项目竣工验收合格之日起计算），质保期自项目终验之日起计算，质保期内维保要求如下：</w:t>
      </w:r>
    </w:p>
    <w:p w14:paraId="4F1CA243">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（1）须安排专职技术人员，随时提供技术支持与使用指导，包括故障排除、性能调优、技术咨询等。</w:t>
      </w:r>
    </w:p>
    <w:p w14:paraId="7F2051BA">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w:t>
      </w:r>
      <w:r>
        <w:rPr>
          <w:rFonts w:hint="eastAsia" w:asciiTheme="minorEastAsia" w:hAnsiTheme="minorEastAsia" w:eastAsiaTheme="minorEastAsia" w:cstheme="minorEastAsia"/>
          <w:color w:val="auto"/>
          <w:sz w:val="28"/>
          <w:szCs w:val="28"/>
          <w:lang w:val="en-US" w:eastAsia="zh-CN"/>
        </w:rPr>
        <w:t>2</w:t>
      </w:r>
      <w:r>
        <w:rPr>
          <w:rFonts w:hint="eastAsia" w:asciiTheme="minorEastAsia" w:hAnsiTheme="minorEastAsia" w:eastAsiaTheme="minorEastAsia" w:cstheme="minorEastAsia"/>
          <w:color w:val="auto"/>
          <w:sz w:val="28"/>
          <w:szCs w:val="28"/>
        </w:rPr>
        <w:t>）须提供7*</w:t>
      </w:r>
      <w:r>
        <w:rPr>
          <w:rFonts w:hint="eastAsia" w:asciiTheme="minorEastAsia" w:hAnsiTheme="minorEastAsia" w:cstheme="minorEastAsia"/>
          <w:color w:val="auto"/>
          <w:sz w:val="28"/>
          <w:szCs w:val="28"/>
          <w:lang w:val="en-US" w:eastAsia="zh-CN"/>
        </w:rPr>
        <w:t>24</w:t>
      </w:r>
      <w:r>
        <w:rPr>
          <w:rFonts w:hint="eastAsia" w:asciiTheme="minorEastAsia" w:hAnsiTheme="minorEastAsia" w:eastAsiaTheme="minorEastAsia" w:cstheme="minorEastAsia"/>
          <w:color w:val="auto"/>
          <w:sz w:val="28"/>
          <w:szCs w:val="28"/>
        </w:rPr>
        <w:t>小时的技术服务热线，负责解答用户在使用中遇到的问题，并及时提出解决问题的建议和操作方法，在接到用户故障报告后响应时间不超过</w:t>
      </w:r>
      <w:r>
        <w:rPr>
          <w:rFonts w:hint="eastAsia" w:asciiTheme="minorEastAsia" w:hAnsiTheme="minorEastAsia" w:cstheme="minorEastAsia"/>
          <w:color w:val="auto"/>
          <w:sz w:val="28"/>
          <w:szCs w:val="28"/>
          <w:lang w:val="en-US" w:eastAsia="zh-CN"/>
        </w:rPr>
        <w:t>1</w:t>
      </w:r>
      <w:r>
        <w:rPr>
          <w:rFonts w:hint="eastAsia" w:asciiTheme="minorEastAsia" w:hAnsiTheme="minorEastAsia" w:eastAsiaTheme="minorEastAsia" w:cstheme="minorEastAsia"/>
          <w:color w:val="auto"/>
          <w:sz w:val="28"/>
          <w:szCs w:val="28"/>
        </w:rPr>
        <w:t xml:space="preserve">小时。 </w:t>
      </w:r>
    </w:p>
    <w:p w14:paraId="43212C53">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（3）该项目</w:t>
      </w:r>
      <w:r>
        <w:rPr>
          <w:rFonts w:hint="eastAsia" w:asciiTheme="minorEastAsia" w:hAnsiTheme="minorEastAsia" w:cstheme="minorEastAsia"/>
          <w:color w:val="auto"/>
          <w:sz w:val="28"/>
          <w:szCs w:val="28"/>
          <w:lang w:val="en-US" w:eastAsia="zh-CN"/>
        </w:rPr>
        <w:t>质保</w:t>
      </w:r>
      <w:r>
        <w:rPr>
          <w:rFonts w:hint="eastAsia" w:asciiTheme="minorEastAsia" w:hAnsiTheme="minorEastAsia" w:eastAsiaTheme="minorEastAsia" w:cstheme="minorEastAsia"/>
          <w:color w:val="auto"/>
          <w:sz w:val="28"/>
          <w:szCs w:val="28"/>
          <w:lang w:val="en-US" w:eastAsia="zh-CN"/>
        </w:rPr>
        <w:t>到期后，后续</w:t>
      </w:r>
      <w:r>
        <w:rPr>
          <w:rFonts w:hint="eastAsia" w:asciiTheme="minorEastAsia" w:hAnsiTheme="minorEastAsia" w:cstheme="minorEastAsia"/>
          <w:color w:val="auto"/>
          <w:sz w:val="28"/>
          <w:szCs w:val="28"/>
          <w:lang w:val="en-US" w:eastAsia="zh-CN"/>
        </w:rPr>
        <w:t>免费系统升级</w:t>
      </w:r>
      <w:r>
        <w:rPr>
          <w:rFonts w:hint="eastAsia" w:asciiTheme="minorEastAsia" w:hAnsiTheme="minorEastAsia" w:eastAsiaTheme="minorEastAsia" w:cstheme="minorEastAsia"/>
          <w:color w:val="auto"/>
          <w:sz w:val="28"/>
          <w:szCs w:val="28"/>
          <w:lang w:val="en-US" w:eastAsia="zh-CN"/>
        </w:rPr>
        <w:t>。</w:t>
      </w:r>
    </w:p>
    <w:p w14:paraId="1FB85BCB">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（4）维修响应：供货方在保修期内接到用户电话后，在半小时内响应，</w:t>
      </w:r>
      <w:r>
        <w:rPr>
          <w:rFonts w:hint="eastAsia" w:asciiTheme="minorEastAsia" w:hAnsiTheme="minorEastAsia" w:cstheme="minorEastAsia"/>
          <w:color w:val="auto"/>
          <w:sz w:val="28"/>
          <w:szCs w:val="28"/>
          <w:lang w:val="en-US" w:eastAsia="zh-CN"/>
        </w:rPr>
        <w:t>1</w:t>
      </w:r>
      <w:r>
        <w:rPr>
          <w:rFonts w:hint="eastAsia" w:asciiTheme="minorEastAsia" w:hAnsiTheme="minorEastAsia" w:eastAsiaTheme="minorEastAsia" w:cstheme="minorEastAsia"/>
          <w:color w:val="auto"/>
          <w:sz w:val="28"/>
          <w:szCs w:val="28"/>
          <w:lang w:val="en-US" w:eastAsia="zh-CN"/>
        </w:rPr>
        <w:t>小时内到达现场，24小时以内解决问题，不能修复的必须采取无偿更换设备措施，以保证用户的正常使用。当涉及更换设备或备件时，所换设备或备件将自更换之日起继续享有规定的质保。</w:t>
      </w:r>
    </w:p>
    <w:p w14:paraId="56F92CCA">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（5）质保期内无法响应采购人服务要求的，每次扣除质保金的</w:t>
      </w:r>
      <w:r>
        <w:rPr>
          <w:rFonts w:hint="eastAsia" w:asciiTheme="minorEastAsia" w:hAnsiTheme="minorEastAsia" w:cstheme="minorEastAsia"/>
          <w:color w:val="auto"/>
          <w:sz w:val="28"/>
          <w:szCs w:val="28"/>
          <w:lang w:val="en-US" w:eastAsia="zh-CN"/>
        </w:rPr>
        <w:t>300元</w:t>
      </w:r>
      <w:bookmarkStart w:id="15" w:name="_GoBack"/>
      <w:bookmarkEnd w:id="15"/>
      <w:r>
        <w:rPr>
          <w:rFonts w:hint="eastAsia" w:asciiTheme="minorEastAsia" w:hAnsiTheme="minorEastAsia" w:eastAsiaTheme="minorEastAsia" w:cstheme="minorEastAsia"/>
          <w:color w:val="auto"/>
          <w:sz w:val="28"/>
          <w:szCs w:val="28"/>
          <w:lang w:val="en-US" w:eastAsia="zh-CN"/>
        </w:rPr>
        <w:t>。</w:t>
      </w:r>
    </w:p>
    <w:p w14:paraId="4C3F67A0">
      <w:pPr>
        <w:pStyle w:val="6"/>
        <w:pageBreakBefore w:val="0"/>
        <w:numPr>
          <w:ilvl w:val="1"/>
          <w:numId w:val="1"/>
        </w:numPr>
        <w:kinsoku/>
        <w:wordWrap/>
        <w:overflowPunct/>
        <w:topLinePunct w:val="0"/>
        <w:autoSpaceDE/>
        <w:autoSpaceDN/>
        <w:bidi w:val="0"/>
        <w:adjustRightInd/>
        <w:snapToGrid/>
        <w:spacing w:line="500" w:lineRule="exact"/>
        <w:ind w:left="777" w:leftChars="0" w:hanging="567" w:firstLineChars="0"/>
        <w:rPr>
          <w:rFonts w:hint="eastAsia" w:asciiTheme="minorEastAsia" w:hAnsiTheme="minorEastAsia" w:eastAsiaTheme="minorEastAsia" w:cstheme="minorEastAsia"/>
          <w:color w:val="auto"/>
          <w:sz w:val="28"/>
          <w:szCs w:val="28"/>
        </w:rPr>
      </w:pPr>
      <w:bookmarkStart w:id="12" w:name="_Toc2347"/>
      <w:bookmarkStart w:id="13" w:name="_Toc21430"/>
      <w:bookmarkStart w:id="14" w:name="_Toc23124"/>
      <w:r>
        <w:rPr>
          <w:rFonts w:hint="eastAsia" w:asciiTheme="minorEastAsia" w:hAnsiTheme="minorEastAsia" w:eastAsiaTheme="minorEastAsia" w:cstheme="minorEastAsia"/>
          <w:color w:val="auto"/>
          <w:sz w:val="28"/>
          <w:szCs w:val="28"/>
        </w:rPr>
        <w:t>项目验收要求</w:t>
      </w:r>
      <w:bookmarkEnd w:id="12"/>
      <w:bookmarkEnd w:id="13"/>
      <w:bookmarkEnd w:id="14"/>
    </w:p>
    <w:p w14:paraId="45B0F17C">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（1）中标供应商完成工作内容后向采购人提</w:t>
      </w:r>
      <w:r>
        <w:rPr>
          <w:rFonts w:hint="eastAsia" w:asciiTheme="minorEastAsia" w:hAnsiTheme="minorEastAsia" w:eastAsiaTheme="minorEastAsia" w:cstheme="minorEastAsia"/>
          <w:color w:val="auto"/>
          <w:sz w:val="28"/>
          <w:szCs w:val="28"/>
          <w:lang w:val="en-US" w:eastAsia="zh-CN"/>
        </w:rPr>
        <w:t>出</w:t>
      </w:r>
      <w:r>
        <w:rPr>
          <w:rFonts w:hint="eastAsia" w:asciiTheme="minorEastAsia" w:hAnsiTheme="minorEastAsia" w:eastAsiaTheme="minorEastAsia" w:cstheme="minorEastAsia"/>
          <w:color w:val="auto"/>
          <w:sz w:val="28"/>
          <w:szCs w:val="28"/>
        </w:rPr>
        <w:t>验收申请，经采购人组织评审通过视为验收合格。</w:t>
      </w:r>
    </w:p>
    <w:p w14:paraId="6F701CD5">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w:t>
      </w:r>
      <w:r>
        <w:rPr>
          <w:rFonts w:hint="eastAsia" w:asciiTheme="minorEastAsia" w:hAnsiTheme="minorEastAsia" w:eastAsiaTheme="minorEastAsia" w:cstheme="minorEastAsia"/>
          <w:color w:val="auto"/>
          <w:sz w:val="28"/>
          <w:szCs w:val="28"/>
          <w:lang w:val="en-US" w:eastAsia="zh-CN"/>
        </w:rPr>
        <w:t>2</w:t>
      </w:r>
      <w:r>
        <w:rPr>
          <w:rFonts w:hint="eastAsia" w:asciiTheme="minorEastAsia" w:hAnsiTheme="minorEastAsia" w:eastAsiaTheme="minorEastAsia" w:cstheme="minorEastAsia"/>
          <w:color w:val="auto"/>
          <w:sz w:val="28"/>
          <w:szCs w:val="28"/>
        </w:rPr>
        <w:t>）中标供应商对于工程各阶段的验收中发现的问题，组织各承建商提出有效解决办法和措施。</w:t>
      </w:r>
    </w:p>
    <w:p w14:paraId="45F2DCCB">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rPr>
      </w:pPr>
      <w:r>
        <w:rPr>
          <w:rFonts w:hint="eastAsia" w:asciiTheme="minorEastAsia" w:hAnsiTheme="minorEastAsia" w:eastAsiaTheme="minorEastAsia" w:cstheme="minorEastAsia"/>
          <w:color w:val="auto"/>
          <w:sz w:val="28"/>
          <w:szCs w:val="28"/>
        </w:rPr>
        <w:t>（</w:t>
      </w:r>
      <w:r>
        <w:rPr>
          <w:rFonts w:hint="eastAsia" w:asciiTheme="minorEastAsia" w:hAnsiTheme="minorEastAsia" w:eastAsiaTheme="minorEastAsia" w:cstheme="minorEastAsia"/>
          <w:color w:val="auto"/>
          <w:sz w:val="28"/>
          <w:szCs w:val="28"/>
          <w:lang w:val="en-US" w:eastAsia="zh-CN"/>
        </w:rPr>
        <w:t>3</w:t>
      </w:r>
      <w:r>
        <w:rPr>
          <w:rFonts w:hint="eastAsia" w:asciiTheme="minorEastAsia" w:hAnsiTheme="minorEastAsia" w:eastAsiaTheme="minorEastAsia" w:cstheme="minorEastAsia"/>
          <w:color w:val="auto"/>
          <w:sz w:val="28"/>
          <w:szCs w:val="28"/>
        </w:rPr>
        <w:t>）中标供应商对于工程各阶段验收中有关本项目的内容提供电子和纸质两种介质的产出物，并保持版本一致，纸质的须经采购人签字认可。</w:t>
      </w:r>
    </w:p>
    <w:bookmarkEnd w:id="0"/>
    <w:p w14:paraId="3D14B9C7">
      <w:pPr>
        <w:pStyle w:val="2"/>
        <w:ind w:left="0" w:leftChars="0" w:firstLine="0" w:firstLineChars="0"/>
        <w:rPr>
          <w:rFonts w:hint="eastAsia" w:asciiTheme="minorEastAsia" w:hAnsiTheme="minorEastAsia" w:eastAsiaTheme="minorEastAsia" w:cstheme="minorEastAsia"/>
          <w:color w:val="auto"/>
          <w:kern w:val="2"/>
          <w:sz w:val="28"/>
          <w:szCs w:val="28"/>
          <w:lang w:val="en-US" w:eastAsia="zh-CN" w:bidi="ar-SA"/>
        </w:rPr>
      </w:pPr>
      <w:r>
        <w:rPr>
          <w:rFonts w:hint="eastAsia"/>
          <w:lang w:val="en-US" w:eastAsia="zh-CN"/>
        </w:rPr>
        <w:t xml:space="preserve">  </w:t>
      </w:r>
      <w:r>
        <w:rPr>
          <w:rFonts w:hint="eastAsia" w:asciiTheme="minorEastAsia" w:hAnsiTheme="minorEastAsia" w:eastAsiaTheme="minorEastAsia" w:cstheme="minorEastAsia"/>
          <w:color w:val="auto"/>
          <w:kern w:val="2"/>
          <w:sz w:val="28"/>
          <w:szCs w:val="28"/>
          <w:lang w:val="en-US" w:eastAsia="zh-CN" w:bidi="ar-SA"/>
        </w:rPr>
        <w:t xml:space="preserve">   </w:t>
      </w:r>
      <w:r>
        <w:rPr>
          <w:rFonts w:hint="eastAsia" w:asciiTheme="minorEastAsia" w:hAnsiTheme="minorEastAsia" w:cstheme="minorEastAsia"/>
          <w:color w:val="auto"/>
          <w:kern w:val="2"/>
          <w:sz w:val="28"/>
          <w:szCs w:val="28"/>
          <w:lang w:val="en-US" w:eastAsia="zh-CN" w:bidi="ar-SA"/>
        </w:rPr>
        <w:t>技术参数</w:t>
      </w:r>
      <w:r>
        <w:rPr>
          <w:rFonts w:hint="eastAsia" w:asciiTheme="minorEastAsia" w:hAnsiTheme="minorEastAsia" w:eastAsiaTheme="minorEastAsia" w:cstheme="minorEastAsia"/>
          <w:color w:val="auto"/>
          <w:kern w:val="2"/>
          <w:sz w:val="28"/>
          <w:szCs w:val="28"/>
          <w:lang w:val="en-US" w:eastAsia="zh-CN" w:bidi="ar-SA"/>
        </w:rPr>
        <w:t>见附件：</w:t>
      </w:r>
    </w:p>
    <w:p w14:paraId="694929CC">
      <w:pPr>
        <w:pStyle w:val="2"/>
        <w:ind w:left="0" w:leftChars="0" w:firstLine="0" w:firstLineChars="0"/>
        <w:rPr>
          <w:rFonts w:hint="eastAsia" w:asciiTheme="minorEastAsia" w:hAnsiTheme="minorEastAsia" w:eastAsiaTheme="minorEastAsia" w:cstheme="minorEastAsia"/>
          <w:color w:val="auto"/>
          <w:kern w:val="2"/>
          <w:sz w:val="28"/>
          <w:szCs w:val="28"/>
          <w:lang w:val="en-US" w:eastAsia="zh-CN" w:bidi="ar-SA"/>
        </w:rPr>
      </w:pPr>
    </w:p>
    <w:p w14:paraId="45428A69">
      <w:pPr>
        <w:pStyle w:val="2"/>
        <w:ind w:left="0" w:leftChars="0" w:firstLine="0" w:firstLineChars="0"/>
        <w:rPr>
          <w:rFonts w:hint="eastAsia" w:asciiTheme="minorEastAsia" w:hAnsiTheme="minorEastAsia" w:eastAsiaTheme="minorEastAsia" w:cstheme="minorEastAsia"/>
          <w:color w:val="auto"/>
          <w:kern w:val="2"/>
          <w:sz w:val="28"/>
          <w:szCs w:val="28"/>
          <w:lang w:val="en-US" w:eastAsia="zh-CN" w:bidi="ar-SA"/>
        </w:rPr>
      </w:pPr>
    </w:p>
    <w:p w14:paraId="33196587">
      <w:pPr>
        <w:pStyle w:val="2"/>
        <w:ind w:left="0" w:leftChars="0" w:firstLine="0" w:firstLineChars="0"/>
        <w:rPr>
          <w:rFonts w:hint="eastAsia" w:asciiTheme="minorEastAsia" w:hAnsiTheme="minorEastAsia" w:eastAsiaTheme="minorEastAsia" w:cstheme="minorEastAsia"/>
          <w:color w:val="auto"/>
          <w:kern w:val="2"/>
          <w:sz w:val="28"/>
          <w:szCs w:val="28"/>
          <w:lang w:val="en-US" w:eastAsia="zh-CN" w:bidi="ar-SA"/>
        </w:rPr>
      </w:pPr>
    </w:p>
    <w:p w14:paraId="5E908228">
      <w:pPr>
        <w:pStyle w:val="2"/>
        <w:ind w:left="0" w:leftChars="0" w:firstLine="0" w:firstLineChars="0"/>
        <w:rPr>
          <w:rFonts w:hint="eastAsia" w:asciiTheme="minorEastAsia" w:hAnsiTheme="minorEastAsia" w:eastAsiaTheme="minorEastAsia" w:cstheme="minorEastAsia"/>
          <w:color w:val="auto"/>
          <w:kern w:val="2"/>
          <w:sz w:val="28"/>
          <w:szCs w:val="28"/>
          <w:lang w:val="en-US" w:eastAsia="zh-CN" w:bidi="ar-SA"/>
        </w:rPr>
      </w:pPr>
    </w:p>
    <w:p w14:paraId="06D57DBC">
      <w:pPr>
        <w:pStyle w:val="2"/>
        <w:ind w:left="0" w:leftChars="0" w:firstLine="0" w:firstLineChars="0"/>
        <w:rPr>
          <w:rFonts w:hint="eastAsia" w:asciiTheme="minorEastAsia" w:hAnsiTheme="minorEastAsia" w:eastAsiaTheme="minorEastAsia" w:cstheme="minorEastAsia"/>
          <w:color w:val="auto"/>
          <w:kern w:val="2"/>
          <w:sz w:val="28"/>
          <w:szCs w:val="28"/>
          <w:lang w:val="en-US" w:eastAsia="zh-CN" w:bidi="ar-SA"/>
        </w:rPr>
      </w:pPr>
    </w:p>
    <w:p w14:paraId="4B9915C3">
      <w:pPr>
        <w:pStyle w:val="2"/>
        <w:ind w:left="0" w:leftChars="0" w:firstLine="0" w:firstLineChars="0"/>
        <w:rPr>
          <w:rFonts w:hint="eastAsia" w:asciiTheme="minorEastAsia" w:hAnsiTheme="minorEastAsia" w:eastAsiaTheme="minorEastAsia" w:cstheme="minorEastAsia"/>
          <w:color w:val="auto"/>
          <w:kern w:val="2"/>
          <w:sz w:val="28"/>
          <w:szCs w:val="28"/>
          <w:lang w:val="en-US" w:eastAsia="zh-CN" w:bidi="ar-SA"/>
        </w:rPr>
      </w:pPr>
    </w:p>
    <w:tbl>
      <w:tblPr>
        <w:tblStyle w:val="8"/>
        <w:tblW w:w="939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7"/>
        <w:gridCol w:w="766"/>
        <w:gridCol w:w="7128"/>
        <w:gridCol w:w="520"/>
        <w:gridCol w:w="544"/>
      </w:tblGrid>
      <w:tr w14:paraId="199493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1" w:hRule="atLeast"/>
        </w:trPr>
        <w:tc>
          <w:tcPr>
            <w:tcW w:w="939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DAE2B">
            <w:pPr>
              <w:keepNext w:val="0"/>
              <w:keepLines w:val="0"/>
              <w:widowControl/>
              <w:suppressLineNumbers w:val="0"/>
              <w:jc w:val="center"/>
              <w:textAlignment w:val="center"/>
              <w:rPr>
                <w:rFonts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亳州市车管所机房动力环境系统采购需求</w:t>
            </w:r>
          </w:p>
        </w:tc>
      </w:tr>
      <w:tr w14:paraId="3DD9BB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13F25">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序号</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B121C">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产品名称</w:t>
            </w:r>
          </w:p>
        </w:tc>
        <w:tc>
          <w:tcPr>
            <w:tcW w:w="7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23399">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技术参数</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4905A">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单位</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9C508">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数量</w:t>
            </w:r>
          </w:p>
        </w:tc>
      </w:tr>
      <w:tr w14:paraId="7EDCEB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20" w:hRule="atLeast"/>
        </w:trPr>
        <w:tc>
          <w:tcPr>
            <w:tcW w:w="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F6D7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3DCC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动力环境监控管理系统平台V1.0</w:t>
            </w:r>
          </w:p>
        </w:tc>
        <w:tc>
          <w:tcPr>
            <w:tcW w:w="7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E2C36">
            <w:pPr>
              <w:keepNext w:val="0"/>
              <w:keepLines w:val="0"/>
              <w:widowControl/>
              <w:suppressLineNumbers w:val="0"/>
              <w:jc w:val="left"/>
              <w:textAlignment w:val="center"/>
              <w:rPr>
                <w:rFonts w:hint="default"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本动环监控系统建设，其主要实现功能包括大屏展示、首页统计、2.5D全景导航、运维管理、系统权限管理、警报管理等功能为一体的系统。实现对环境（温湿度）、视频、UPS、空调、漏水、红外、烟感、市电等设备进行集中监控和管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1、支持未处理警报、待办任务、未读消息、管理设备的信息统计，近七天警告概况统计的曲线图和告警信息处理情况的统计，PUE实时信息显示与PUE走势分析，设备警告信息的详细列表显示；</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2、可以根据2.5D图的方式展示各个设备的运行状态和运行数据；以及设备告警信息的列表显示；</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3、支持大屏页面对近七天告警信息统计分析，当前各个设备的状态，系统运行天数的显示，近七天PUE数据的显示，配电监测、UPS监测、精密空调、温湿度部分数据的显示和运行状态，以上性能指标提供第三方检测报告、自检报告或权威机构加以证明；</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4、现业务设备与基础设备的解耦设计，支持用户自定义分组和自定义设备名称等。警报方案管理实现用户自定义警报规则，支持多种设备、多种情况组合触发，避免冗余警告，支持警报配置时间内未处理自动上报，支持用户自定义通知方式：短信、邮件、语音、站内信、微信公众号。支持警告统计导出和快速定位功能。系统管理包括用户管理、部门管理、权限管理、定时任务管理等保证系统安全。以上性能指标提供第三方检测报告或自检报告加以证明；</w:t>
            </w:r>
            <w:r>
              <w:rPr>
                <w:rFonts w:hint="eastAsia" w:ascii="仿宋" w:hAnsi="仿宋" w:eastAsia="仿宋" w:cs="仿宋"/>
                <w:i w:val="0"/>
                <w:iCs w:val="0"/>
                <w:color w:val="000000"/>
                <w:kern w:val="0"/>
                <w:sz w:val="22"/>
                <w:szCs w:val="22"/>
                <w:u w:val="none"/>
                <w:lang w:val="en-US" w:eastAsia="zh-CN" w:bidi="ar"/>
              </w:rPr>
              <w:br w:type="textWrapping"/>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9FBD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DCE5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r>
      <w:tr w14:paraId="113A22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D358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09C8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手机APP</w:t>
            </w:r>
          </w:p>
        </w:tc>
        <w:tc>
          <w:tcPr>
            <w:tcW w:w="7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0DB76">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手机app运维，支持安卓和苹果</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4111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CED6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r>
      <w:tr w14:paraId="61888F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E9BF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87F0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短信报警中心</w:t>
            </w:r>
          </w:p>
        </w:tc>
        <w:tc>
          <w:tcPr>
            <w:tcW w:w="7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5529B">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支持多人短信群发，内含多人以上通知，配置SIM卡</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3DD3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37C5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r>
      <w:tr w14:paraId="6296F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6EFC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DD7B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声光报警器</w:t>
            </w:r>
          </w:p>
        </w:tc>
        <w:tc>
          <w:tcPr>
            <w:tcW w:w="7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06F91">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标准电压：12VDC</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标准电流：230-310mA</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声压指数：≥110dB/300mm</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闪动频次：150次/分钟</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尺寸：122*72*43mm</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4CB2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4969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r>
      <w:tr w14:paraId="14CF72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0" w:hRule="atLeast"/>
        </w:trPr>
        <w:tc>
          <w:tcPr>
            <w:tcW w:w="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FD4A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1998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动环主机</w:t>
            </w:r>
          </w:p>
        </w:tc>
        <w:tc>
          <w:tcPr>
            <w:tcW w:w="7305" w:type="dxa"/>
            <w:tcBorders>
              <w:top w:val="single" w:color="000000" w:sz="4" w:space="0"/>
              <w:left w:val="single" w:color="000000" w:sz="4" w:space="0"/>
              <w:bottom w:val="single" w:color="000000" w:sz="4" w:space="0"/>
              <w:right w:val="single" w:color="000000" w:sz="4" w:space="0"/>
            </w:tcBorders>
            <w:shd w:val="clear" w:color="auto" w:fill="auto"/>
            <w:vAlign w:val="top"/>
          </w:tcPr>
          <w:p w14:paraId="26184B02">
            <w:pPr>
              <w:keepNext w:val="0"/>
              <w:keepLines w:val="0"/>
              <w:widowControl/>
              <w:suppressLineNumbers w:val="0"/>
              <w:jc w:val="left"/>
              <w:textAlignment w:val="top"/>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1.处理器：满足实时数据处理需求</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2.系统：嵌入式LINUX 操作系统。</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3.RS485接口：7个全隔离RS485接口（支持收发指示灯） RS485采用三级防护，其中两个是与RS232复用。</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4.2个全隔离RS232接口(2个全隔离RS232接口与RS485为复用关系)</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5.输入输出：6路DI干接点输入，2路DO干接点输出。</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6.网络：支持4G全网通，1路10M/100M自适应以太网接口</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7.电源：8路DC12V电源输出，AC220输入。</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功能参数：</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1、采用BOA的内置WEB服务器，系统内置SQlite数据库，可以实现本地存储（提供第三方检测报告、自检报告或权威机构检测报告证明）。</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2、本地采集轮询：可在本地不间断的轮询采集终端设备数据</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3、协议扩展：采用动态协议库，可以任意扩展终端设备协议</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4、本地协议解析：可将不同协议类型的设备数据分别解析，采用统一的协议上传至后台管理端</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5、本地数据存储备份：可将采集到的数据存储在本地数据库中，防止数据丢失</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6、本地数据导出：可将本地设备数据库中的数据导出到外置存储器</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7、配置文件自动同步：当设备的配置信息发送更改后，再次接入管理平台时，将自动将新的配置文件上传至管理平台</w:t>
            </w:r>
            <w:r>
              <w:rPr>
                <w:rFonts w:hint="eastAsia" w:ascii="仿宋" w:hAnsi="仿宋" w:eastAsia="仿宋" w:cs="仿宋"/>
                <w:i w:val="0"/>
                <w:iCs w:val="0"/>
                <w:color w:val="FF0000"/>
                <w:kern w:val="0"/>
                <w:sz w:val="22"/>
                <w:szCs w:val="22"/>
                <w:u w:val="none"/>
                <w:lang w:val="en-US" w:eastAsia="zh-CN" w:bidi="ar"/>
              </w:rPr>
              <w:t>（提供第三方检测报告、自检报告或权威机构检测报告证明）</w:t>
            </w:r>
            <w:r>
              <w:rPr>
                <w:rFonts w:hint="eastAsia" w:ascii="仿宋" w:hAnsi="仿宋" w:eastAsia="仿宋" w:cs="仿宋"/>
                <w:i w:val="0"/>
                <w:iCs w:val="0"/>
                <w:color w:val="000000"/>
                <w:kern w:val="0"/>
                <w:sz w:val="22"/>
                <w:szCs w:val="22"/>
                <w:u w:val="none"/>
                <w:lang w:val="en-US" w:eastAsia="zh-CN" w:bidi="ar"/>
              </w:rPr>
              <w:t>。</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8、配置文件导出/导入：设备配置文件可以导出，并在另一台设备导入，方便配置相同的设备之间的复制和设备的替换。</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9、内置WEB管理：通过内置的WEB服务器管理配置网关，例如终端设备的添加，协议的添加，数据到导出/导入，设备的重启等。</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10、 多平台连接：设备应支持5个平台的连接，可同时向5个管理平台发送数据，做到一机多用，防止一个平台瘫痪造成损失（提供第三方检测报告、自检报告或权威机构检测报告证明）。</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11、远程升级：设备支持后台远程升级，支持后台升级程序，方便集中批量管理（提供第三方检测报告、自检报告或权威机构检测报告证明）。</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12、运行状态监测：实时将本机的运行状态上传至管理后台，便于后台集中监控运行信息。确保第一时间发现故障，解决故障（提供第三方检测报告、自检报告或权威机构检测报告证明）。</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13、支持协议：Modbus，SNMP，电总协议，其它非标准协议，各种自定义协议。</w:t>
            </w:r>
            <w:r>
              <w:rPr>
                <w:rFonts w:hint="eastAsia" w:ascii="仿宋" w:hAnsi="仿宋" w:eastAsia="仿宋" w:cs="仿宋"/>
                <w:i w:val="0"/>
                <w:iCs w:val="0"/>
                <w:color w:val="000000"/>
                <w:kern w:val="0"/>
                <w:sz w:val="22"/>
                <w:szCs w:val="22"/>
                <w:u w:val="none"/>
                <w:lang w:val="en-US" w:eastAsia="zh-CN" w:bidi="ar"/>
              </w:rPr>
              <w:br w:type="textWrapping"/>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128A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2568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r>
      <w:tr w14:paraId="1061F2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52D6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AD7E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配电通信协议软件接口</w:t>
            </w:r>
          </w:p>
        </w:tc>
        <w:tc>
          <w:tcPr>
            <w:tcW w:w="7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EDD8B">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对配电通信协议软件（串口协议）进行转换</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F514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42D3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r>
      <w:tr w14:paraId="5478F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0" w:hRule="atLeast"/>
        </w:trPr>
        <w:tc>
          <w:tcPr>
            <w:tcW w:w="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ED88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325A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UPS通讯协议软件模块</w:t>
            </w:r>
          </w:p>
        </w:tc>
        <w:tc>
          <w:tcPr>
            <w:tcW w:w="7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6A33C">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对UPS通信协议软件（串口协议）进行转换</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8009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E0EF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r>
      <w:tr w14:paraId="037387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2AB3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BDA9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精密空调协议软件模块</w:t>
            </w:r>
          </w:p>
        </w:tc>
        <w:tc>
          <w:tcPr>
            <w:tcW w:w="7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033CF">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对精密空调通信协议软件（串口协议）进行转换</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D75B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93C6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r>
      <w:tr w14:paraId="0F4A6F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0" w:hRule="atLeast"/>
        </w:trPr>
        <w:tc>
          <w:tcPr>
            <w:tcW w:w="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7C95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83F0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温湿度传感仪</w:t>
            </w:r>
          </w:p>
        </w:tc>
        <w:tc>
          <w:tcPr>
            <w:tcW w:w="7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17F20">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工作电压：（10V～15VDC）；</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温度测量：温度范围-20℃～70℃或 -4℉～176℉，温度误差&lt;±0.3℃，在25℃时测试；</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湿度测量: 湿度范围0～100%RH, 湿度误差&lt;±3%RH， 在25℃、60%RH时测试;</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物理接口：RS485，传输距离≤1200米；</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通信协议：MODBUS-RTU;</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波特率：2400, 4800, 9600可选择；</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材料：阻燃ABS塑料, 94V-0阻燃等级；</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8CD0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C848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r>
      <w:tr w14:paraId="4EDBC7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C223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BE67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烟感探测器</w:t>
            </w:r>
          </w:p>
        </w:tc>
        <w:tc>
          <w:tcPr>
            <w:tcW w:w="7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D4FA8">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供电电压： DC12V、静态电流： ≤200uA、报警电流： ≤20mA、工作温度： -10℃- +55℃、工作湿度： 10%-95%RH（无凝结）、抗风能力: 20m/s(不误报)</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A626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6EFC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r>
      <w:tr w14:paraId="33AAAA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0" w:hRule="atLeast"/>
        </w:trPr>
        <w:tc>
          <w:tcPr>
            <w:tcW w:w="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70CC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B82E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区域式漏水检测仪（485智能型，支持非感应漏水绳、ST感应电极）</w:t>
            </w:r>
          </w:p>
        </w:tc>
        <w:tc>
          <w:tcPr>
            <w:tcW w:w="7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48783">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带485智能端口，并支持干节点输出，输出形式常开常闭可选、12VDC电源、带指示灯告警，，包含双极检测探头，短路时阻抗&lt;50Ω，负载电压＜60V，负载电流＜30mA；静态电流：&lt;30mA；告警电流：&lt;65mA；</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工作环境：-10 ~ 55°C，10~98%RH；</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安装方式：35mm轨道安装，体积95*41*26mm</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FA93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BC33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r>
      <w:tr w14:paraId="0774A2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258A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E31D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区域漏水绳</w:t>
            </w:r>
          </w:p>
        </w:tc>
        <w:tc>
          <w:tcPr>
            <w:tcW w:w="7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885A0">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与漏水监测仪使用，(含2.5米引出线，含终止端，含固定胶贴)</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00DC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根</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3575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r>
      <w:tr w14:paraId="6B3DA2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AC46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A2E5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门禁系统通信协议软件接口</w:t>
            </w:r>
          </w:p>
        </w:tc>
        <w:tc>
          <w:tcPr>
            <w:tcW w:w="7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D3224">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对门禁系统通信协议软件（串口协议）进行转换</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C51F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A9DB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r>
      <w:tr w14:paraId="474C52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0DE6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7A30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弱电连接线缆</w:t>
            </w:r>
          </w:p>
        </w:tc>
        <w:tc>
          <w:tcPr>
            <w:tcW w:w="7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B7292">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电源及超五类网线以及配套水晶头等辅材，满足系统功能完整性需要。</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D76F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7091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r>
      <w:tr w14:paraId="44731D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136C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6D8F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安装调试</w:t>
            </w:r>
          </w:p>
        </w:tc>
        <w:tc>
          <w:tcPr>
            <w:tcW w:w="7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33105">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配套</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6058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F668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r>
      <w:tr w14:paraId="44C13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3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DF3471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报价时需提供相应证明文件，否则投标无效。</w:t>
            </w:r>
          </w:p>
        </w:tc>
      </w:tr>
    </w:tbl>
    <w:p w14:paraId="72599840">
      <w:pPr>
        <w:pStyle w:val="2"/>
        <w:ind w:left="0" w:leftChars="0" w:firstLine="0" w:firstLineChars="0"/>
        <w:rPr>
          <w:rFonts w:hint="default" w:asciiTheme="minorEastAsia" w:hAnsiTheme="minorEastAsia" w:eastAsiaTheme="minorEastAsia" w:cstheme="minorEastAsia"/>
          <w:color w:val="auto"/>
          <w:kern w:val="2"/>
          <w:sz w:val="28"/>
          <w:szCs w:val="28"/>
          <w:lang w:val="en-US" w:eastAsia="zh-CN" w:bidi="ar-SA"/>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5ACB3">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D4EDC9">
                          <w:pPr>
                            <w:pStyle w:val="7"/>
                          </w:pPr>
                          <w:r>
                            <w:t xml:space="preserve">第 </w:t>
                          </w:r>
                          <w:r>
                            <w:fldChar w:fldCharType="begin"/>
                          </w:r>
                          <w:r>
                            <w:instrText xml:space="preserve"> PAGE  \* MERGEFORMAT </w:instrText>
                          </w:r>
                          <w:r>
                            <w:fldChar w:fldCharType="separate"/>
                          </w:r>
                          <w:r>
                            <w:t>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BD4EDC9">
                    <w:pPr>
                      <w:pStyle w:val="7"/>
                    </w:pPr>
                    <w:r>
                      <w:t xml:space="preserve">第 </w:t>
                    </w:r>
                    <w:r>
                      <w:fldChar w:fldCharType="begin"/>
                    </w:r>
                    <w:r>
                      <w:instrText xml:space="preserve"> PAGE  \* MERGEFORMAT </w:instrText>
                    </w:r>
                    <w:r>
                      <w:fldChar w:fldCharType="separate"/>
                    </w:r>
                    <w:r>
                      <w:t>3</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87E58B"/>
    <w:multiLevelType w:val="multilevel"/>
    <w:tmpl w:val="E687E58B"/>
    <w:lvl w:ilvl="0" w:tentative="0">
      <w:start w:val="1"/>
      <w:numFmt w:val="chineseCounting"/>
      <w:suff w:val="nothing"/>
      <w:lvlText w:val="第%1章 "/>
      <w:lvlJc w:val="left"/>
      <w:pPr>
        <w:ind w:left="425" w:hanging="425"/>
      </w:pPr>
      <w:rPr>
        <w:rFonts w:hint="eastAsia"/>
      </w:rPr>
    </w:lvl>
    <w:lvl w:ilvl="1" w:tentative="0">
      <w:start w:val="1"/>
      <w:numFmt w:val="decimal"/>
      <w:isLgl/>
      <w:lvlText w:val="%1.%2."/>
      <w:lvlJc w:val="left"/>
      <w:pPr>
        <w:ind w:left="777" w:hanging="567"/>
      </w:pPr>
      <w:rPr>
        <w:rFonts w:hint="default" w:ascii="黑体" w:hAnsi="黑体" w:eastAsia="黑体" w:cs="黑体"/>
        <w:sz w:val="28"/>
        <w:szCs w:val="28"/>
      </w:rPr>
    </w:lvl>
    <w:lvl w:ilvl="2" w:tentative="0">
      <w:start w:val="1"/>
      <w:numFmt w:val="decimal"/>
      <w:isLgl/>
      <w:lvlText w:val="%1.%2.%3."/>
      <w:lvlJc w:val="left"/>
      <w:pPr>
        <w:ind w:left="1339" w:hanging="709"/>
      </w:pPr>
      <w:rPr>
        <w:rFonts w:hint="default" w:ascii="黑体" w:hAnsi="黑体" w:eastAsia="黑体" w:cs="黑体"/>
        <w:b/>
        <w:bCs/>
        <w:i w:val="0"/>
        <w:iCs w:val="0"/>
        <w:sz w:val="28"/>
        <w:szCs w:val="28"/>
      </w:rPr>
    </w:lvl>
    <w:lvl w:ilvl="3" w:tentative="0">
      <w:start w:val="1"/>
      <w:numFmt w:val="decimal"/>
      <w:isLgl/>
      <w:lvlText w:val="%1.%2.%3.%4."/>
      <w:lvlJc w:val="left"/>
      <w:pPr>
        <w:ind w:left="850" w:hanging="850"/>
      </w:pPr>
      <w:rPr>
        <w:rFonts w:hint="default"/>
        <w:sz w:val="28"/>
        <w:szCs w:val="28"/>
      </w:rPr>
    </w:lvl>
    <w:lvl w:ilvl="4" w:tentative="0">
      <w:start w:val="1"/>
      <w:numFmt w:val="decimal"/>
      <w:isLgl/>
      <w:lvlText w:val="%1.%2.%3.%4.%5."/>
      <w:lvlJc w:val="left"/>
      <w:pPr>
        <w:ind w:left="991" w:hanging="991"/>
      </w:pPr>
      <w:rPr>
        <w:rFonts w:hint="eastAsia"/>
      </w:rPr>
    </w:lvl>
    <w:lvl w:ilvl="5" w:tentative="0">
      <w:start w:val="1"/>
      <w:numFmt w:val="decimal"/>
      <w:isLgl/>
      <w:lvlText w:val="%1.%2.%3.%4.%5.%6."/>
      <w:lvlJc w:val="left"/>
      <w:pPr>
        <w:ind w:left="1134" w:hanging="1134"/>
      </w:pPr>
      <w:rPr>
        <w:rFonts w:hint="eastAsia"/>
      </w:rPr>
    </w:lvl>
    <w:lvl w:ilvl="6" w:tentative="0">
      <w:start w:val="1"/>
      <w:numFmt w:val="decimal"/>
      <w:isLgl/>
      <w:lvlText w:val="%1.%2.%3.%4.%5.%6.%7."/>
      <w:lvlJc w:val="left"/>
      <w:pPr>
        <w:ind w:left="1275" w:hanging="1275"/>
      </w:pPr>
      <w:rPr>
        <w:rFonts w:hint="eastAsia"/>
      </w:rPr>
    </w:lvl>
    <w:lvl w:ilvl="7" w:tentative="0">
      <w:start w:val="1"/>
      <w:numFmt w:val="decimal"/>
      <w:isLgl/>
      <w:lvlText w:val="%1.%2.%3.%4.%5.%6.%7.%8."/>
      <w:lvlJc w:val="left"/>
      <w:pPr>
        <w:ind w:left="1418" w:hanging="1418"/>
      </w:pPr>
      <w:rPr>
        <w:rFonts w:hint="eastAsia"/>
      </w:rPr>
    </w:lvl>
    <w:lvl w:ilvl="8" w:tentative="0">
      <w:start w:val="1"/>
      <w:numFmt w:val="decimal"/>
      <w:isLgl/>
      <w:lvlText w:val="%1.%2.%3.%4.%5.%6.%7.%8.%9."/>
      <w:lvlJc w:val="left"/>
      <w:pPr>
        <w:ind w:left="1558" w:hanging="1558"/>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47245F"/>
    <w:rsid w:val="0C594788"/>
    <w:rsid w:val="0E1D1E0A"/>
    <w:rsid w:val="1247245F"/>
    <w:rsid w:val="25AE752B"/>
    <w:rsid w:val="30E00363"/>
    <w:rsid w:val="31401AC3"/>
    <w:rsid w:val="351C4E6F"/>
    <w:rsid w:val="483553B2"/>
    <w:rsid w:val="52877413"/>
    <w:rsid w:val="5EE44E48"/>
    <w:rsid w:val="668274B1"/>
    <w:rsid w:val="7B9676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rFonts w:asciiTheme="minorAscii" w:hAnsiTheme="minorAscii"/>
      <w:b/>
      <w:kern w:val="44"/>
      <w:sz w:val="36"/>
    </w:rPr>
  </w:style>
  <w:style w:type="paragraph" w:styleId="6">
    <w:name w:val="heading 2"/>
    <w:basedOn w:val="1"/>
    <w:next w:val="1"/>
    <w:unhideWhenUsed/>
    <w:qFormat/>
    <w:uiPriority w:val="0"/>
    <w:pPr>
      <w:keepNext/>
      <w:keepLines/>
      <w:spacing w:before="140" w:beforeLines="0" w:beforeAutospacing="0" w:after="140" w:afterLines="0" w:afterAutospacing="0" w:line="360" w:lineRule="auto"/>
      <w:outlineLvl w:val="1"/>
    </w:pPr>
    <w:rPr>
      <w:rFonts w:ascii="Arial" w:hAnsi="Arial" w:eastAsia="宋体"/>
      <w:b/>
      <w:sz w:val="30"/>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next w:val="4"/>
    <w:qFormat/>
    <w:uiPriority w:val="0"/>
    <w:pPr>
      <w:spacing w:after="120"/>
      <w:ind w:left="420" w:leftChars="200"/>
    </w:pPr>
  </w:style>
  <w:style w:type="paragraph" w:styleId="4">
    <w:name w:val="envelope return"/>
    <w:basedOn w:val="1"/>
    <w:qFormat/>
    <w:uiPriority w:val="0"/>
    <w:pPr>
      <w:snapToGrid w:val="0"/>
    </w:pPr>
    <w:rPr>
      <w:rFonts w:ascii="Arial" w:hAnsi="Arial" w:cs="Arial"/>
      <w:sz w:val="21"/>
      <w:szCs w:val="24"/>
    </w:rPr>
  </w:style>
  <w:style w:type="paragraph" w:styleId="7">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828</Words>
  <Characters>833</Characters>
  <Lines>0</Lines>
  <Paragraphs>0</Paragraphs>
  <TotalTime>0</TotalTime>
  <ScaleCrop>false</ScaleCrop>
  <LinksUpToDate>false</LinksUpToDate>
  <CharactersWithSpaces>839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2025-03-10T03:04:00Z</dcterms:created>
  <dc:creator>就想换个昵称</dc:creator>
  <cp:lastModifiedBy>方子任</cp:lastModifiedBy>
  <dcterms:modified xsi:type="dcterms:W3CDTF">2025-03-24T02:40:51Z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FF8E2DA8030643EA81992863BD9ECD06_13</vt:lpwstr>
  </property>
  <property fmtid="{D5CDD505-2E9C-101B-9397-08002B2CF9AE}" pid="4" name="KSOTemplateDocerSaveRecord">
    <vt:lpwstr>eyJoZGlkIjoiMWFlMzY4MTEzYzc2MGUzMWUyMTU5YmZjY2YyZGFjYjkiLCJ1c2VySWQiOiI0NDUxOTYyNTcifQ==</vt:lpwstr>
  </property>
</Properties>
</file>