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1.采购清单</w:t>
      </w:r>
    </w:p>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569"/>
        <w:gridCol w:w="1171"/>
        <w:gridCol w:w="7385"/>
        <w:gridCol w:w="519"/>
        <w:gridCol w:w="1009"/>
        <w:gridCol w:w="1142"/>
        <w:gridCol w:w="550"/>
        <w:gridCol w:w="1117"/>
        <w:gridCol w:w="7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5000" w:type="pct"/>
            <w:gridSpan w:val="9"/>
            <w:tcBorders>
              <w:top w:val="single" w:color="000000" w:sz="4" w:space="0"/>
              <w:left w:val="single" w:color="000000" w:sz="4" w:space="0"/>
              <w:bottom w:val="nil"/>
              <w:right w:val="single" w:color="000000" w:sz="4" w:space="0"/>
            </w:tcBorders>
            <w:shd w:val="clear" w:color="auto" w:fill="FFFFFF"/>
            <w:vAlign w:val="top"/>
          </w:tcPr>
          <w:p>
            <w:pPr>
              <w:keepNext w:val="0"/>
              <w:keepLines w:val="0"/>
              <w:widowControl/>
              <w:suppressLineNumbers w:val="0"/>
              <w:jc w:val="center"/>
              <w:textAlignment w:val="top"/>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bdr w:val="none" w:color="auto" w:sz="0" w:space="0"/>
                <w:lang w:val="en-US" w:eastAsia="zh-CN" w:bidi="ar"/>
              </w:rPr>
              <w:t>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0" w:hRule="atLeast"/>
        </w:trPr>
        <w:tc>
          <w:tcPr>
            <w:tcW w:w="20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序号</w:t>
            </w:r>
          </w:p>
        </w:tc>
        <w:tc>
          <w:tcPr>
            <w:tcW w:w="41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子目名称</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技术参数</w:t>
            </w:r>
          </w:p>
        </w:tc>
        <w:tc>
          <w:tcPr>
            <w:tcW w:w="1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单位</w:t>
            </w:r>
          </w:p>
        </w:tc>
        <w:tc>
          <w:tcPr>
            <w:tcW w:w="3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数量</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单价（元/单位；含税）</w:t>
            </w:r>
          </w:p>
        </w:tc>
        <w:tc>
          <w:tcPr>
            <w:tcW w:w="19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税率</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小计（元；含税）</w:t>
            </w:r>
          </w:p>
        </w:tc>
        <w:tc>
          <w:tcPr>
            <w:tcW w:w="2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80" w:hRule="atLeast"/>
        </w:trPr>
        <w:tc>
          <w:tcPr>
            <w:tcW w:w="201"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413"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LED显示屏P1.86</w:t>
            </w:r>
          </w:p>
        </w:tc>
        <w:tc>
          <w:tcPr>
            <w:tcW w:w="2605"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LED 室内屏原厂生产，不得使用 OEM 产品；所投 LED 产品须通过 CCC 认证，为保证售后服务的可靠性，提供产品生产厂家对本项目授权和售后服务承诺函；</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1.LED显示屏像素间距≤1.86mm;屏体尺寸：17.92m*2.24 m；屏体分辨率：9632*1204</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2.白平衡亮度：≥700nits，色温：3000k-18000k可调；可视角度水平≥170度；垂直≥150度</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3.亮度均匀性：≥99%；色度均匀性：±0.002Cx,Cy之内；刷新率≥3840Hz；对比度≥6000:1</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4.回扫线或频闪现象、图像均匀性、大面积色彩还原、灰度表现力、拼装精度、运动图像清晰度、静态图像清晰度：根据 SJ/T 11590-2016 LED 显示屏图像质量主观评价方法，检测结果评分为5分，主观评价为优；（提供具有 CMA、ilAC-MRA 或 CNAS 标识的第三方检测报告）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5.模组平整度≤0.1mm，模组间隙：≤0.1mm；四侧面平面度公差≤0.02mm；四侧面垂直度公差≤0.02mm</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6.峰值功耗≤420W/㎡；平均功耗≤140W/㎡；底壳材质：轻钢；IP防护等级：符合IP5X要求；</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7.●显示屏具有LED驱动器，包括其的LED显示屏及LED驱动芯片的驱动方法，具有LED显示屏拼接误差的检测方法和装置，提供国家级权威机构出具的技术证明文件，加盖制造商公章。</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8.●振动方式：正弦振动； 振动频率：5Hz-55Hz-5Hz振动 幅度：0. 19mm；扫频速率：loct/min两个方向 各扫描2次；判定标准：试验后主机外观和 结构不应有明显损坏和异常现 象，重新上电性能正常（提供具有 CMA、ilAC-MRA 或 CNAS 标识的第三方检测报告）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9.平均使用寿命≥100000hrs；MTBF 平均失效间隔时间：≥100000hrs</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10.●LED显示屏画面信噪比≥60dB；在专业测试环境中，测试距离r=1.0米(实测噪音-环境背景噪音)前方、后方≤8.5dB (A)；反光率≤1%；显示屏具有像素显示调整方法及装置，具有储运装置，提供国家级权威机构出具的技术证明文件，加盖制造商公章。</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11.●支持 BT.2020、BT.709、DCI-P3、SRGB 等多种色域之间的转换；同时提供色域调节软件著作权登记证</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12.●LED像素模块推力：450方向推力 200N，无像素点破碎或脱落；单元纵向、横向拉伸承载力≥3t；（提供具有 CMA、ilAC-MRA 或 CNAS 标识的第三方检测报告）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13.●模组机械强度≥30MPa；单模块磁吸强度≥10kg，高强度磁吸能力能避免发生掉落事故；MOB光学膜，支持HDR/3D 显示（提供具有 CMA、ilAC-MRA 或 CNAS 标识的第三方检测报告）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14.模组配合配套箱体，可实现悬浮式磁吸安装方式，模组磁柱与箱体磁盘间保留 1mm 空间，不影响吸力的情况下，通过箱体结构+模组底壳，有效保障平整度；模组+磁柱+钢结构，安装高效便捷；</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15.●显示屏支持加密授信系统，提供此功能软件著作权证书</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●所投LED显示屏制造商具有数字多媒体工程系统集成壹级证书以及由中国生产力学会发布的《中国生产力发展优秀企业》证书投标时需提供以上证明资料复印件加盖生产厂商公章；</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为了保障网络与信息系统安全的安全事件能够得到及时响应，维持和恢复关键业务在安全事件发生后所进行的一系列活动，要求所投LED显示屏制造商具有国家级网络安全审查技术与认证中心出具的信息安全应急处理服务资质证书。投标时需提供以上证明资料复印件加盖生产厂商公章；</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●所投LED显示屏制造商具有数据管理能力，依据国家标准《数据管理能力成熟度评估模型》（GB/T 36073-2018），通过DCMM数据管理能力成熟度评估，提供数据管理能力成熟度认证证书证明资料复印件加盖生产厂商公章；</w:t>
            </w:r>
          </w:p>
        </w:tc>
        <w:tc>
          <w:tcPr>
            <w:tcW w:w="183"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w:t>
            </w:r>
          </w:p>
        </w:tc>
        <w:tc>
          <w:tcPr>
            <w:tcW w:w="356"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40.14 </w:t>
            </w:r>
          </w:p>
        </w:tc>
        <w:tc>
          <w:tcPr>
            <w:tcW w:w="40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vMerge w:val="restar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vMerge w:val="restart"/>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0" w:hRule="atLeast"/>
        </w:trPr>
        <w:tc>
          <w:tcPr>
            <w:tcW w:w="201"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41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2605"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22"/>
                <w:szCs w:val="22"/>
                <w:u w:val="none"/>
              </w:rPr>
            </w:pPr>
          </w:p>
        </w:tc>
        <w:tc>
          <w:tcPr>
            <w:tcW w:w="18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356"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40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vMerge w:val="continue"/>
            <w:tcBorders>
              <w:top w:val="nil"/>
              <w:left w:val="single" w:color="000000" w:sz="4" w:space="0"/>
              <w:bottom w:val="single" w:color="000000" w:sz="4" w:space="0"/>
              <w:right w:val="nil"/>
            </w:tcBorders>
            <w:shd w:val="clear"/>
            <w:noWrap/>
            <w:vAlign w:val="center"/>
          </w:tcPr>
          <w:p>
            <w:pPr>
              <w:jc w:val="center"/>
              <w:rPr>
                <w:rFonts w:hint="eastAsia" w:ascii="宋体" w:hAnsi="宋体" w:eastAsia="宋体" w:cs="宋体"/>
                <w:i w:val="0"/>
                <w:iCs w:val="0"/>
                <w:color w:val="000000"/>
                <w:sz w:val="22"/>
                <w:szCs w:val="22"/>
                <w:u w:val="none"/>
              </w:rPr>
            </w:pPr>
          </w:p>
        </w:tc>
        <w:tc>
          <w:tcPr>
            <w:tcW w:w="39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vMerge w:val="continue"/>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8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接收卡</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单卡最大带载 512×384 像素,支持色彩管理、 18Bit+、逐点亮色度校正、RGB 独立 Gamma 调节、3D 等功能</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采用高密接插件接口进行通讯，防尘防震，具有高稳定性</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最多支持 32 组 RGB 并行数据， 或64组串行数据，可扩展为128组串行数据</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硬件设计符合EMC Class B 标准，提高了产品的电磁兼容性，适用于多种现场环境的搭建       ●为了保证产品的兼容性所投品牌必须与LED显示屏为同一品牌。</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张</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112.00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6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开关电源设备</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1.输出功率：≥200WMAX；</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2.泄漏电流：&lt;1mA(Vin230)；</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3.工作温度：-30℃~60℃；</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4.散热方式：自冷；</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5.输入电压：AC200-240V,47-63Hz；</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6.功率因数：0.50@230VAC；</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7.保护功能：输入欠压，过载保护，短路保护。为了保证产品的兼容性所投品牌必须与LED显示屏为同一品牌。</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台</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196.00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0" w:hRule="atLeast"/>
        </w:trPr>
        <w:tc>
          <w:tcPr>
            <w:tcW w:w="201"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413"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播放软件</w:t>
            </w:r>
          </w:p>
        </w:tc>
        <w:tc>
          <w:tcPr>
            <w:tcW w:w="2605"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●为了保证产品的兼容性所投品牌必须与LED显示屏为同一品牌。</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1.支持载入配置、设置输入源、点亮显示屏、显示屏连接设置、冗余备份设置、启用3D设置、工作模式设置、性能参数设置。</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2.可连接多媒体播放器，调试与媒体播放器的屏体参数。支持升级接收卡、发送卡的硬件程序，支持密码修改。</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●3.对智能配电柜PLC模块实行远程控制，控制屏体的开关状态。主界面具有画质引擎设置功能。提供软件具有 CMA、ilAC-MRA 及 CNAS 标识的第三方软件测试报告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4.支持添加100个显示屏，分别对其进行控制管理。支持检测显示屏LED灯珠的工作状态软件显示点检状态，显示问题点位置。</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5.支持选中灯板并且给灯板设置ID。支持将液晶模块显示的接收卡运行时间清零。</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●6.支持通过软件对灯点进行亮度校正。提供软件具有 CMA、ilAC-MRA 及 CNAS 标识的第三方软件测试报告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7.软件具备误码率检测功能；在关于界面中可以查看软件的版本信息和更新日志</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●8.支持为发送卡设置除湿模式，使控制系统上电后屏体亮度逐渐变化到目标值。供软件具有 CMA、ilAC-MRA 及 CNAS 标识的第三方软件测试报告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9.支持通过载入云平台或本地保存的接收卡配置文件，点亮显示屏；</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●10.支持亮度通过软件进行手动调节。支持色温表添加，自定义命名色温模式为标准模式、视频模式、文本模式。提供软件具有 CMA、ilAC-MRA 及 CNAS 标识的第三方软件测试报告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11.支持监控发送卡状态、接收卡状态、接收卡温度、监控设备状态、湿度、烟雾、风扇、电源、排线、箱门、模组状态。</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12.支持联机校正参数设置、获取平均校正系数、管理校正系数、管理双校正系数。</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13.通过设置测试画面，显示屏可显示红、绿、蓝、白、黄、青、紫，网格、定位图画面。</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14.支持控制画面显示为黑屏锁定，正常显示，可设置自测试画面，控制箱体液晶开启关闭。</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15.通过多功能卡可进行电源管理、监控资料查看、外设设置、程序加载和音讯管理。</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●16.多批次调节支持手动调节，和应用文件调节，可调节灯板色度。支持通过软件调节显示屏拼接处的亮度。提供软件具有 CMA、ilAC-MRA 及 CNAS 标识的第三方软件测试报告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17.可通过软件调节显示屏色温参数。支持设置接收卡设置预存画面，在显示屏丢失同步信号后显示预存的画面。</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18.支持导入前端控制器保存的配置文件，硬件信息，当前被使用设备的相关信息，将接收卡配置文件保存到发送卡，在配屏现场直接通过发送卡的载入箱体文件功能，将配置文件发送到接收卡。</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●19.支持将显示屏注册到云平台的云监控服务，实现远程集中监控显示屏的工作状况。提供软件具有 CMA、ilAC-MRA 及 CNAS 标识的第三方软件测试</w:t>
            </w:r>
          </w:p>
        </w:tc>
        <w:tc>
          <w:tcPr>
            <w:tcW w:w="183"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套</w:t>
            </w:r>
          </w:p>
        </w:tc>
        <w:tc>
          <w:tcPr>
            <w:tcW w:w="356"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1.00 </w:t>
            </w:r>
          </w:p>
        </w:tc>
        <w:tc>
          <w:tcPr>
            <w:tcW w:w="40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vMerge w:val="restar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vMerge w:val="restart"/>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20" w:hRule="atLeast"/>
        </w:trPr>
        <w:tc>
          <w:tcPr>
            <w:tcW w:w="201"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41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2605"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22"/>
                <w:szCs w:val="22"/>
                <w:u w:val="none"/>
              </w:rPr>
            </w:pPr>
          </w:p>
        </w:tc>
        <w:tc>
          <w:tcPr>
            <w:tcW w:w="18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356"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40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vMerge w:val="continue"/>
            <w:tcBorders>
              <w:top w:val="nil"/>
              <w:left w:val="single" w:color="000000" w:sz="4" w:space="0"/>
              <w:bottom w:val="single" w:color="000000" w:sz="4" w:space="0"/>
              <w:right w:val="nil"/>
            </w:tcBorders>
            <w:shd w:val="clear"/>
            <w:noWrap/>
            <w:vAlign w:val="center"/>
          </w:tcPr>
          <w:p>
            <w:pPr>
              <w:jc w:val="center"/>
              <w:rPr>
                <w:rFonts w:hint="eastAsia" w:ascii="宋体" w:hAnsi="宋体" w:eastAsia="宋体" w:cs="宋体"/>
                <w:i w:val="0"/>
                <w:iCs w:val="0"/>
                <w:color w:val="000000"/>
                <w:sz w:val="22"/>
                <w:szCs w:val="22"/>
                <w:u w:val="none"/>
              </w:rPr>
            </w:pPr>
          </w:p>
        </w:tc>
        <w:tc>
          <w:tcPr>
            <w:tcW w:w="39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vMerge w:val="continue"/>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080" w:hRule="atLeast"/>
        </w:trPr>
        <w:tc>
          <w:tcPr>
            <w:tcW w:w="201"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413"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视频处理矩阵</w:t>
            </w:r>
          </w:p>
        </w:tc>
        <w:tc>
          <w:tcPr>
            <w:tcW w:w="2605"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1.采用2U金属结构机箱，机箱为后挂耳架构，上盖无螺钉安装；外壳防护等级符合GB/T4208-2017中的IP20的要求；</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2.样机正常工作时，噪声不大于45dB(A)（距离样机1米处）；</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前面板内嵌3.5英寸液晶显示屏，可通过显示屏显示设备运行状态与参数，包括设备名称、设备接口连接状态、运行状态（温度、电压、风扇），以及IP地址；（提供CMA、CAL、CNAS、ILAC-MRA认可的公安部检验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4.采用插卡式结构，内置数据交换背板，可检测设备温度、电压、风扇在线状态；支持将预监卡槽复用为输入板卡槽位，可自动自适应识别板卡类型；</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单台设备最大支持同时接入4个输入卡和2个输出卡，单路光纤最大支持传输8路网口数据，可同时支持网口传输和光口传输，板卡支持光口和网口之间的复制/热备（提供CMA、CAL、CNAS、ILAC-MRA认可的公安部检验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●6.支持自检功能，包括：运行情况、CPU、EMMC、交叉点通信、内存、电压、温度等状态（提供CMA、CAL、CNAS、ILAC-MRA认可的公安部检验报告）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7.单个二合一网口输出卡最大输出分辨率为10240*1016或1016*10240；整卡带载最高可达1040万像素点；单机最多可同时接入2个二合一网口输出卡，输出可直接连接LED显示屏显示，无需其他设备；</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●8.IPC输入卡支持4K视频接入，单卡支持16路视频解码输出（提供CMA、CAL、CNAS、ILAC-MRA认可的公安部检验报告）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●9.DVI和HDMI输出卡最大支持创建4个屏幕，单台样机最大支持创建8个屏幕；支持非规则建屏，可单卡单接口建屏；（提供CMA、CAL、CNAS、ILAC-MRA认可的公安部检验报告）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10.单个输出板卡最大支持16个图层，每个图层可放大到4K显示;支持图层在输出接口间漫游，可进行图层参数设置，包括：无极缩放、图层画面截取、水平和垂直镜像翻转、冻结、叠加、图层优先级;可对图层无极缩放、图层全屏和自适应接口全屏；（提供CMA、CAL、CNAS、ILAC-MRA认可的公安部检验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●11.单拼接屏幕支持1个背景图叠加显示，背景图不占图层资源，支持重命名设置，且可全屏缩放，单张背景图最大支持15360 x4096显示；（提供CMA、CAL、CNAS、ILAC-MRA认可的公安部检验报告）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12.单拼接屏幕支持1个OSD叠加显示，OSD可为文字或图片，最大尺寸支持19200x3240，且透明度和位置可调，支持对字体间距、颜色、位置、透明度、运动特效等参数设置，支持任意比例缩放；（提供CMA、CAL、CNAS、ILAC-MRA认可的公安部检验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13.屏幕画质调节支持4种调节模式:标准模式、文档模式、会议模式、视频模式，每种模式下均支持护眼模式开关设置，护眼模式关闭时，可对亮度、对比度、饱和度、色调、色温、Gamma进行自定义调节。输出接口画质支持亮度，对比度、饱和度，色调、色温、Gamma调节，可添加22种测试画面图像，支持间距、速度、亮度调节；</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●14.可对输入图像画面添加台标，可调整台标文字与图片背景、位置；（提供CMA、CAL、CNAS、ILAC-MRA认可的公安部检验报告）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●15.支持设置2000个用户场景，场景可以设置为图片或视频，场景切换支持淡入淡出、直切效果，场景调取响应时间不大于60ms，支持多场景分组和场景一键轮巡（提供CMA、CAL、CNAS、ILAC-MRA认可的公安部检验报告）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16.支持对所有输入源同时预监，支持对所有输出进行回显(包含IP流回显)</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17.支持板卡热插拔功能，设备无需重启和设置，更换板卡后可自动恢复之前的图层数据，图像显示应正常</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18.支持输入输出分辨率自定义设置，可保存为EDID模板，并可导入导出，多种分辨率设置模式可选，包括:预设分辨率、自定义分辨率、EDID模版，自定义分辨率最大支持8Kx1K;支持高级时序设置</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●19.支持用户权限分级管理和设置，超级管理员用户可分配用户使用权限；支持多用户同时在线编辑、控制、上屏操作，可预览其他用户操作（提供CMA、CAL、CNAS、ILAC-MRA认可的公安部检验报告）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20.可通过genlock接口设置所有接口视频图像同步输出；内嵌BS拼接器配置软件，支持windows、麒麟(Kylin)、IOS、Android、Linux操作系统访问设备及交互操作</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●21.支持实时上屏和预编上屏两种模式，实时上屏模式可实现用户编辑实时上屏显示；预编上屏模式支持在软件端进行显示内容预编辑后，再上屏显示（提供CMA、CAL、CNAS、ILAC-MRA认可的公安部检验报告）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22.视频输入源为60Hz时，从视频源输入到 LED屏显示的图像延迟时间不大于16ms</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●23.支持有线和无线方式访问设备，客户端通过有线方式操作时，操作响应时间不大于60ms（提供CMA、CAL、CNAS、ILAC-MRA认可的公安部检验报告）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24.可通过客户端完成固件升级，升级完成后可显示设备及板卡的固件版本信息；.支持输入源画面任意截取，并可对截取的画面开窗调用，并可作为一个新的输入源，不影响原输入源的使用</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25.搭配二合一网口输出卡，配合使用3D眼镜和外置发射器(内置3D片源)，可在外接普通LED显示屏上显示3D效果</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●26.可通过菜单一键开启HDR并进行视频播放；搭配二合一网口输出卡，可一键调节LED显示屏亮度、调节LED显示屏黑屏和冻结（提供CMA、CAL、CNAS、ILAC-MRA认可的公安部检验报告）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27. 可通过移动终端(PAD)进行无线控制，实现图层编辑、信号更换、场景保存/调取、LED屏幕亮度调节、画面控制等操作</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28.安全防范报警设备的电源插头或电源引入端与外壳裸露金属部件之间，应能承受 GB16796-2009中表1规定的45Hz~65Hz交流电压的抗电强度试验，历时1min应无击穿和飞弧现象                                                           ●为确保使用安全稳定性，须与户内全彩显示屏同一品牌，投标文件中须提供CCC认证证书复印件</w:t>
            </w:r>
          </w:p>
        </w:tc>
        <w:tc>
          <w:tcPr>
            <w:tcW w:w="183"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台</w:t>
            </w:r>
          </w:p>
        </w:tc>
        <w:tc>
          <w:tcPr>
            <w:tcW w:w="356"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1.00 </w:t>
            </w:r>
          </w:p>
        </w:tc>
        <w:tc>
          <w:tcPr>
            <w:tcW w:w="40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vMerge w:val="restar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vMerge w:val="restart"/>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80" w:hRule="atLeast"/>
        </w:trPr>
        <w:tc>
          <w:tcPr>
            <w:tcW w:w="201"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41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2605"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22"/>
                <w:szCs w:val="22"/>
                <w:u w:val="none"/>
              </w:rPr>
            </w:pPr>
          </w:p>
        </w:tc>
        <w:tc>
          <w:tcPr>
            <w:tcW w:w="18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356"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40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vMerge w:val="continue"/>
            <w:tcBorders>
              <w:top w:val="nil"/>
              <w:left w:val="single" w:color="000000" w:sz="4" w:space="0"/>
              <w:bottom w:val="single" w:color="000000" w:sz="4" w:space="0"/>
              <w:right w:val="nil"/>
            </w:tcBorders>
            <w:shd w:val="clear"/>
            <w:noWrap/>
            <w:vAlign w:val="center"/>
          </w:tcPr>
          <w:p>
            <w:pPr>
              <w:jc w:val="center"/>
              <w:rPr>
                <w:rFonts w:hint="eastAsia" w:ascii="宋体" w:hAnsi="宋体" w:eastAsia="宋体" w:cs="宋体"/>
                <w:i w:val="0"/>
                <w:iCs w:val="0"/>
                <w:color w:val="000000"/>
                <w:sz w:val="22"/>
                <w:szCs w:val="22"/>
                <w:u w:val="none"/>
              </w:rPr>
            </w:pPr>
          </w:p>
        </w:tc>
        <w:tc>
          <w:tcPr>
            <w:tcW w:w="39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vMerge w:val="continue"/>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680" w:hRule="atLeast"/>
        </w:trPr>
        <w:tc>
          <w:tcPr>
            <w:tcW w:w="201"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41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2605"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22"/>
                <w:szCs w:val="22"/>
                <w:u w:val="none"/>
              </w:rPr>
            </w:pPr>
          </w:p>
        </w:tc>
        <w:tc>
          <w:tcPr>
            <w:tcW w:w="18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356"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40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vMerge w:val="continue"/>
            <w:tcBorders>
              <w:top w:val="nil"/>
              <w:left w:val="single" w:color="000000" w:sz="4" w:space="0"/>
              <w:bottom w:val="single" w:color="000000" w:sz="4" w:space="0"/>
              <w:right w:val="nil"/>
            </w:tcBorders>
            <w:shd w:val="clear"/>
            <w:noWrap/>
            <w:vAlign w:val="center"/>
          </w:tcPr>
          <w:p>
            <w:pPr>
              <w:jc w:val="center"/>
              <w:rPr>
                <w:rFonts w:hint="eastAsia" w:ascii="宋体" w:hAnsi="宋体" w:eastAsia="宋体" w:cs="宋体"/>
                <w:i w:val="0"/>
                <w:iCs w:val="0"/>
                <w:color w:val="000000"/>
                <w:sz w:val="22"/>
                <w:szCs w:val="22"/>
                <w:u w:val="none"/>
              </w:rPr>
            </w:pPr>
          </w:p>
        </w:tc>
        <w:tc>
          <w:tcPr>
            <w:tcW w:w="39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vMerge w:val="continue"/>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4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工程结构</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1.挂架、支架、钢结构、铝塑板外包等，满足项目使用需求。</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2.●结构合理性及安全性：为确保钢结构施工安全性和屏体安装的合理及长期安全，厂家具有钢结构专业承包叁级及以上资质并提供资质证书复印件。</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42.16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配电柜</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室内标准配电柜，配电柜具有电源过压、过流、断电保护、分布上电措施等功能，内含PLC控制系统</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台</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辅材</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屏体内电源线，排线，网线等</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8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控制电脑</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1、显示器：≥27寸；</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2、处理器：≥12代I5；</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3、内存：≥16G；</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4、硬盘：固态≥512G，机械：≥1T；</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5、显卡：≥16G GTRX6600独立显卡</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6、外设：鼠标、键盘、鼠标垫。</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台</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3.00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HDMI延长器</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120米HDMI线高清4K/60Hz，光纤无损传输，接收端、发射端</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对</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6.00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信号线</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六类非屏蔽网线</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米</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800.00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大屏分支电源线</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ZR-RVV3*4mm²</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米</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200.00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大屏主电源线</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WDZB-4*25+1*16mm²（包含电缆头）</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米</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25.00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线性音柱扬声器</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1.采用≥8只3寸全频喇叭单元。</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2.箱体采用≥12mm高密度板，CNC加工，耐磨喷漆处理。</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3.拼接排列扬声器设计。</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4.额定功率≥300W；峰值功率≥1200W</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5.灵敏度≥95dB(1M/1W)</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6.最大声压级（额定/峰值）：120dB/126dB</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7.标称阻抗≤4Ω</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8.频率范围等同或优于70Hz-20kHz</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●9.为确保该项目所使用的产品为正规实力厂家提供，所投音频系统厂家须获得音视频智能系统集成工程资质壹级证书,提供证书复印件佐证。</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只</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4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413"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音频处理器</w:t>
            </w:r>
          </w:p>
        </w:tc>
        <w:tc>
          <w:tcPr>
            <w:tcW w:w="2605"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后面板具有≥4路线路音频凤凰端子平衡输入接口（具有48V幻象供电）、≥4路线路音频凤凰端子平衡输出接口、≥1个拨码开关、≥1个RJ45接口、≥1个RS232接口、≥1个RS485接口、≥8个可编程GPIO控制接口、≥1个接地柱；前面板具有≥2.0英寸 IPS 真彩显示屏、≥1个编码旋钮、≥1个USB存储设备接口。</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输入通道支持前级放大、信号发生器、扩展器、压缩器、均衡器（≥12段参量均衡、可选10/15/31段图示均衡器可调，图示均衡器可用于单独调节带宽）、闪避器、AGC自动增益、AM自动混音功能（门限式、增益共享式）、AFC自适应反馈消除、AEC回声消除、ANC噪声消除、音频矩阵；输出通道支持均衡器（≥12段参量均衡、可选10/15/31段图示均衡器可调，图示均衡器可用于单独调节带宽）、延时器、分频器、高低通滤波器、限幅器；基于啸叫检测门限更新法，具有移频+陷波组合反馈抑制，可以使用≥24个可编程陷波点，可自由分配动态/静态点，自动/手动切换。（需提供得到CMA或CNAS认可的检测机构出具的检测报告作为该技术参数证明材料）</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3.具有矩阵增益调节功能，每个输入通道参与混音的增益可调，增益调节范围等同或优于-72db到12db。</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音频处理器具有跨平台软件，可运行的操作系统版本≥8种，包括Windows7/10/11、银河麒麟桌面操作系统（兆芯版）、银河麒麟桌面操作系统（飞腾版）、macOS系统、统信UOS、Ubuntu桌面版操作系统。（需提供得到CMA或CNAS认可的检测机构出具的检测报告作为该技术参数证明材料）</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5.产品具有PC客户端、手机移动端、安卓平板端不同控制方式，可以通同时登入APP软件、PC客户端同时连接设备，并实现多端数据的同步。</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6.设备具有编码旋钮和IPS屏幕，可用于控制和配置设备静音，增益，场景；IPS屏幕能够显示IP地址，输入和输出通道的实时电平。</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7.具有设备定位功能，客户端一键定位局域网内同类设备，被定位的设备会显示定位信息。</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8.设备具有统一集中控制功能，支持≥65535台设备通过软件集中控制。</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9.音频处理器软件可融入会议音频综合管理平台实现音频设备统一管理，平台可扫描数字会议主机、音频处理器、混音器、抑制器、功放类产品在线情况，同款产品多台在线设备也可扫描，并显示设备硬件名称、硬件IP地址、在线、离线状态信息；具备一键上传配置信息至云端或保存本地进行备份和一键还原配置信息功能。（需提供得到CMA或CNAS认可的检测机构出具的检测报告作为该技术参数证明材料）</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●10.为确保该项目有优质的售后服务保障 ，所投产品厂家须出具权威机构颁发的证明厂家售后服务符合十星级标准的“服务认证证书”，且证书含有公共广播、数字会议、专业音响等字眼，提供证书复印件佐证。</w:t>
            </w:r>
          </w:p>
        </w:tc>
        <w:tc>
          <w:tcPr>
            <w:tcW w:w="183"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台</w:t>
            </w:r>
          </w:p>
        </w:tc>
        <w:tc>
          <w:tcPr>
            <w:tcW w:w="356"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1.00 </w:t>
            </w:r>
          </w:p>
        </w:tc>
        <w:tc>
          <w:tcPr>
            <w:tcW w:w="40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vMerge w:val="restar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vMerge w:val="restart"/>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w:t>
            </w:r>
          </w:p>
        </w:tc>
        <w:tc>
          <w:tcPr>
            <w:tcW w:w="41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2605"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22"/>
                <w:szCs w:val="22"/>
                <w:u w:val="none"/>
              </w:rPr>
            </w:pPr>
          </w:p>
        </w:tc>
        <w:tc>
          <w:tcPr>
            <w:tcW w:w="18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356"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40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vMerge w:val="continue"/>
            <w:tcBorders>
              <w:top w:val="nil"/>
              <w:left w:val="single" w:color="000000" w:sz="4" w:space="0"/>
              <w:bottom w:val="single" w:color="000000" w:sz="4" w:space="0"/>
              <w:right w:val="nil"/>
            </w:tcBorders>
            <w:shd w:val="clear"/>
            <w:noWrap/>
            <w:vAlign w:val="center"/>
          </w:tcPr>
          <w:p>
            <w:pPr>
              <w:jc w:val="center"/>
              <w:rPr>
                <w:rFonts w:hint="eastAsia" w:ascii="宋体" w:hAnsi="宋体" w:eastAsia="宋体" w:cs="宋体"/>
                <w:i w:val="0"/>
                <w:iCs w:val="0"/>
                <w:color w:val="000000"/>
                <w:sz w:val="22"/>
                <w:szCs w:val="22"/>
                <w:u w:val="none"/>
              </w:rPr>
            </w:pPr>
          </w:p>
        </w:tc>
        <w:tc>
          <w:tcPr>
            <w:tcW w:w="39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vMerge w:val="continue"/>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96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17</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专业功放</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1.标准≤1U机箱设计，采用D类数字功放设计方案。</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2.标准XLR输入接口，和LINK输出口。</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3.电源采用开关电源技术，效率高，有效的抑制电源谐波。</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 xml:space="preserve">4.内置智能削峰限幅器，支持开机软启动，防止开机时向电网吸收大电流，干扰其它用电设备。 </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5.具有：过压保护，欠压保护，过流保护，直流保护，输出短路保护，温控风扇等功能。</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6.输出功率：立体声@8Ω：≥350W×2；立体声@4Ω：≥600W×2。</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台</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调音台</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1.支持≥4路Mic输入兼容≥4路线路输入接口，话筒接口幻象电源：≥+48V，≥4组立体线性输入。</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2.具有≥1组立体声主输出、≥1组辅助输出、≥1路耳机监听输出、≥1组CD/Tape输出。</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3.每路单声道输入通道设有≥3段EQ，设有峰值LED指示灯。</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4.内置≥24位DSP效果器，提供≥100种预设效果。</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台</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有线话筒</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1.指向性：心形指向性</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2.信噪比：≥65dB SPL 1KHz at 1Pa</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3.频率响应等同或优于20-18KHz</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4.输出阻抗：≥75Ω</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5.灵敏度：≥-40dB±2dB</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只</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3.00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4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辅材</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包含3×1.5mm²电源线，、1.8米音频连接线：6.35话筒插头-卡侬头（公）、卡农头（母）-空、3.5（耳机插头）-双6.35话筒插头，1.2米音频连接线：卡农头（公）-空、6.35单插头、HDMI视频线、10A插头。</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吸顶同轴音响</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1．额定功率≥100W</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 阻抗：≤8Ω</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3．灵敏度(1W/1M)≥91dB</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4．频率响应(-10dB)等同或优于50Hz-20KHz</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5．喇叭单元：≥8" ×1  1.5" ×1</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只</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专业功放</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1.标准≤1U机箱设计，采用D类数字功放设计方案。</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2.标准XLR输入接口，和LINK输出口。</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3.电源采用开关电源技术，效率高，有效的抑制电源谐波。</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 xml:space="preserve">4.内置智能削峰限幅器，支持开机软启动，防止开机时向电网吸收大电流，干扰其它用电设备。 </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5.具有：过压保护，欠压保护，过流保护，直流保护，输出短路保护，温控风扇等功能。</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6.输出功率：立体声@8Ω：≥200W×2；立体声@4Ω：≥400W×2。</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7.提供在线服务小程序，可通过微信小程序提交售前、售中或售后问题，厂家客服人员在线或回电及时解答。可提交的服务类型包括“维护”、“指导调试”、“指导安装”、“指导布线”、“远程调试”、“400电话”等类别可选。在线服务可以实时查询处理进度，具有“待处理”、“处理中”及“已处理”等版块。“已处理”版块具有历史记录功能，可通过联系电话搜索历史条目，条目信息记录申请人姓名、联系电话、申请时间、问题描述、处理状态、处理人、处理用时和处理后信息反馈。并且具有“再次申请”功能。（提供功能界面截图佐证）</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台</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23</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无线话筒</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1.基于数字U段的传输技术，pi/4-DQPSK调制方式，采用国产主控芯片，传输距离≥80米，接收机具有≥2路平衡输出、≥1路非平衡混音输出；具有混响、均衡、智能静音、音频加密、功率调节功能。</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2.具有≥1台接收主机、≥2只手持发射机；频率范围等同或优于470MHz-510MHz、540MHz-590MHz、640MHz-690MHz、807MHz-830MHz四个频段使用。</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接收机前面板具有≥2个显示屏、≥2个编码旋钮、≥2个频率扫描实体按键、≥2个红外对频实体按键、≥1个电源开关按键、≥1个二合一指示灯（红外发射管+对频指示灯）；后面板具有≥1个LINE-OUT接口、≥2个XLR-OUT接口、≥2个BNC接口、≥1个DC接口。发射机具有≥1个OLED 显示屏、≥1个开关机/静音按键、≥2个工作状态指示灯。（需提供得到CMA或CNAS认可的检测机构出具的检测报告作为该技术参数证明材料）</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4.具有自动静音功能，麦克风跌落、抛掷时，毫秒级自动静音，避免冲击声；实时监测设备姿态，静置≥5秒静音，≥8分钟关机，无需手动干预。（需提供得到CMA或CNAS认可的检测机构出具的检测报告作为该技术参数证明材料）</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●5.具有多档位混响调节功能，混响效果≥15625个，效果占比、回响延时、混响幅度调节，三种音效各具有≥25档调节方式。（需提供得到CMA或CNAS认可的检测机构出具的检测报告作为该技术参数证明材料）</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6.具有多频段均衡调节功能，均衡调节≥2197种，麦克风均衡器调节功能，具有高、中、低音三种调节档位，每种效果支持≥13档调节。</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7.具有长时间续航，发射机使用时长≥10小时。</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8.具有ID码防串扰功能，采用32位唯一ID码，用于接收和发射配对，收发ID码必须相同才能对码，能够有效防止相同频率的信号相互串台。</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9.接收机具有≥2个2.2英寸的TFT-LCD显示屏；发射机具有≥0.96英寸OLED显示屏，能够显示频率信息、音频加密状态、功率挡位、静音状态、电量格数信息。</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套</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2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24</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话筒天线</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1.射频频率范围等同或优于470～950MHz</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2.驻波比：≤2.0</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3.输入阻抗：≤50Ω</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4.指向性：≥180度指向</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套</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24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25</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电源管理器</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1.支持≥8通道电源时序打开/关闭，每路动作延时时间：≤1秒，支持远程控制（上电+24V直流信号）8通道电源时序打开/关闭—当电源开关处于off位置时有效。支持配置CH1和CH2通道为受控或不受控状态。</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2.当远程控制有效时同时控制后板ALARM（报警）端口导通以起到级联控制ALARM（报警）功能。</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3.单个通道最大负载功率≥2200W，所有通道负载总功率≥6000W。输出连接器：多用途电源插座。</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4.具有一路及以上USB输出接口。</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台</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多媒体插座</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1个HDMI模块、1个音频模块、一个网口</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5.00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27</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话筒插座</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弹起式/3个卡侬口</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5.00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2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28</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音箱线</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1.外被: PVC </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2.导体: 精炼铜线芯</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3.芯数：300芯*2</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4.100米/卷</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米</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200.00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29</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话筒线</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双芯咪线RVPE2*0.5</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米</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50.00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30</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HDMI高清线</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30米HDMI线高清4K/60Hz，光纤无损传输，18Gbps带宽</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条</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5.00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31</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桥架</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200*100</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米</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30.00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32</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网络机柜</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42U，内置8位10A PDU</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台</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4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33</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铁构件</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1、名称：铁构件</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2、材质：铁构件</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3、未尽事宜详见图纸、招标文件、答疑、图集、政府相关文件及规范等其他资料</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吨</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0.15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34</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JDG管</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JDG DN25，含配套辅材</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米</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50.00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操作台</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定制金属造作台，根据需求定制</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米</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10.00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20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36</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配套座椅</w:t>
            </w:r>
          </w:p>
        </w:tc>
        <w:tc>
          <w:tcPr>
            <w:tcW w:w="26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人体工力学座椅</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把</w:t>
            </w:r>
          </w:p>
        </w:tc>
        <w:tc>
          <w:tcPr>
            <w:tcW w:w="35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5.00 </w:t>
            </w:r>
          </w:p>
        </w:tc>
        <w:tc>
          <w:tcPr>
            <w:tcW w:w="4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2" w:type="pct"/>
            <w:tcBorders>
              <w:top w:val="nil"/>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9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0" w:type="pct"/>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4355" w:type="pct"/>
            <w:gridSpan w:val="7"/>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合计（元；含税）</w:t>
            </w:r>
          </w:p>
        </w:tc>
        <w:tc>
          <w:tcPr>
            <w:tcW w:w="644" w:type="pct"/>
            <w:gridSpan w:val="2"/>
            <w:tcBorders>
              <w:top w:val="single" w:color="000000" w:sz="4" w:space="0"/>
              <w:left w:val="single" w:color="000000" w:sz="4" w:space="0"/>
              <w:bottom w:val="single" w:color="000000" w:sz="4" w:space="0"/>
              <w:right w:val="single" w:color="000000" w:sz="4" w:space="0"/>
            </w:tcBorders>
            <w:shd w:val="clear" w:color="auto" w:fill="FFFFFF"/>
            <w:vAlign w:val="top"/>
          </w:tcPr>
          <w:p>
            <w:pPr>
              <w:jc w:val="center"/>
              <w:rPr>
                <w:rFonts w:hint="eastAsia" w:ascii="宋体" w:hAnsi="宋体" w:eastAsia="宋体" w:cs="宋体"/>
                <w:i w:val="0"/>
                <w:iCs w:val="0"/>
                <w:color w:val="000000"/>
                <w:sz w:val="22"/>
                <w:szCs w:val="22"/>
                <w:u w:val="none"/>
              </w:rPr>
            </w:pPr>
          </w:p>
        </w:tc>
      </w:tr>
    </w:tbl>
    <w:p>
      <w:pPr>
        <w:spacing w:line="520" w:lineRule="exact"/>
        <w:ind w:firstLine="640" w:firstLineChars="200"/>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2.</w:t>
      </w:r>
      <w:r>
        <w:rPr>
          <w:rFonts w:hint="eastAsia" w:ascii="Times New Roman" w:hAnsi="Times New Roman" w:cs="Times New Roman"/>
          <w:sz w:val="32"/>
          <w:szCs w:val="32"/>
        </w:rPr>
        <w:t>物资材料验收时供应商需提供产品质量合格证明文件或第三方检测报告或出厂检测合格报告等能够证明产品质量合格的文件资料；提供原厂厂商针对本项目的授权委托书及售后服务承诺函。</w:t>
      </w:r>
      <w:bookmarkStart w:id="0" w:name="_GoBack"/>
      <w:bookmarkEnd w:id="0"/>
    </w:p>
    <w:p>
      <w:pPr>
        <w:spacing w:line="520" w:lineRule="exact"/>
        <w:ind w:firstLine="640" w:firstLineChars="200"/>
        <w:rPr>
          <w:rFonts w:hint="eastAsia" w:ascii="Times New Roman" w:hAnsi="Times New Roman" w:cs="Times New Roman"/>
          <w:sz w:val="32"/>
          <w:szCs w:val="32"/>
        </w:rPr>
      </w:pPr>
      <w:r>
        <w:rPr>
          <w:rFonts w:hint="eastAsia" w:ascii="Times New Roman" w:hAnsi="Times New Roman" w:cs="Times New Roman"/>
          <w:sz w:val="32"/>
          <w:szCs w:val="32"/>
          <w:lang w:val="en-US" w:eastAsia="zh-CN"/>
        </w:rPr>
        <w:t>3.</w:t>
      </w:r>
      <w:r>
        <w:rPr>
          <w:rFonts w:hint="eastAsia" w:ascii="Times New Roman" w:hAnsi="Times New Roman" w:cs="Times New Roman"/>
          <w:sz w:val="32"/>
          <w:szCs w:val="32"/>
          <w:lang w:val="en-US" w:eastAsia="zh-CN"/>
        </w:rPr>
        <w:t>采购</w:t>
      </w:r>
      <w:r>
        <w:rPr>
          <w:rFonts w:hint="eastAsia" w:ascii="Times New Roman" w:hAnsi="Times New Roman" w:cs="Times New Roman"/>
          <w:sz w:val="32"/>
          <w:szCs w:val="32"/>
        </w:rPr>
        <w:t>清单标“●”项必须满足，并提供证明。</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default"/>
          <w:lang w:val="en-US" w:eastAsia="zh-CN"/>
        </w:rPr>
      </w:pP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 w:name="KSO_WPS_MARK_KEY" w:val="ab34d275-29dc-4077-9cf3-9ffd70014b78"/>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B316DB7"/>
    <w:rsid w:val="0B4D3BF1"/>
    <w:rsid w:val="0EE32E18"/>
    <w:rsid w:val="0F4A52C7"/>
    <w:rsid w:val="118B7221"/>
    <w:rsid w:val="122B630F"/>
    <w:rsid w:val="1409144A"/>
    <w:rsid w:val="15E50ECA"/>
    <w:rsid w:val="16675465"/>
    <w:rsid w:val="1720040C"/>
    <w:rsid w:val="17602EFE"/>
    <w:rsid w:val="17B120CF"/>
    <w:rsid w:val="17B77C73"/>
    <w:rsid w:val="17D11706"/>
    <w:rsid w:val="18963AA9"/>
    <w:rsid w:val="19255C97"/>
    <w:rsid w:val="19B137D6"/>
    <w:rsid w:val="19FF0946"/>
    <w:rsid w:val="1A29745A"/>
    <w:rsid w:val="1B862808"/>
    <w:rsid w:val="1BA50EE0"/>
    <w:rsid w:val="1BBC447B"/>
    <w:rsid w:val="1C2A3722"/>
    <w:rsid w:val="1E594203"/>
    <w:rsid w:val="1E8262C8"/>
    <w:rsid w:val="1EFC62AD"/>
    <w:rsid w:val="1F586514"/>
    <w:rsid w:val="1F6B2440"/>
    <w:rsid w:val="1FE17043"/>
    <w:rsid w:val="20265131"/>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C559EE"/>
    <w:rsid w:val="388008B3"/>
    <w:rsid w:val="39A9599C"/>
    <w:rsid w:val="39E15381"/>
    <w:rsid w:val="3A2B6F44"/>
    <w:rsid w:val="3B2A0FAA"/>
    <w:rsid w:val="3B8406BA"/>
    <w:rsid w:val="3C2F4ACA"/>
    <w:rsid w:val="3D424389"/>
    <w:rsid w:val="3DBC7F10"/>
    <w:rsid w:val="3ED01E68"/>
    <w:rsid w:val="4019701E"/>
    <w:rsid w:val="407C4056"/>
    <w:rsid w:val="40B55684"/>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0C255CE"/>
    <w:rsid w:val="514364CA"/>
    <w:rsid w:val="51D72884"/>
    <w:rsid w:val="53174839"/>
    <w:rsid w:val="537E791D"/>
    <w:rsid w:val="54372316"/>
    <w:rsid w:val="546122D3"/>
    <w:rsid w:val="54FB1595"/>
    <w:rsid w:val="554C4DB4"/>
    <w:rsid w:val="56026953"/>
    <w:rsid w:val="56A936C4"/>
    <w:rsid w:val="56FE3F90"/>
    <w:rsid w:val="57CB7BCB"/>
    <w:rsid w:val="58044C05"/>
    <w:rsid w:val="58600F69"/>
    <w:rsid w:val="591B0458"/>
    <w:rsid w:val="59590F26"/>
    <w:rsid w:val="5A1A187F"/>
    <w:rsid w:val="5B193FAC"/>
    <w:rsid w:val="5D662547"/>
    <w:rsid w:val="5FDC6467"/>
    <w:rsid w:val="604653D4"/>
    <w:rsid w:val="609747A1"/>
    <w:rsid w:val="60CD01D3"/>
    <w:rsid w:val="60D3511D"/>
    <w:rsid w:val="60EB2945"/>
    <w:rsid w:val="61574B85"/>
    <w:rsid w:val="627831CA"/>
    <w:rsid w:val="642E19FC"/>
    <w:rsid w:val="65695331"/>
    <w:rsid w:val="65FE560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6F1D7FA9"/>
    <w:rsid w:val="7279151A"/>
    <w:rsid w:val="72802C82"/>
    <w:rsid w:val="731E270E"/>
    <w:rsid w:val="73C61A83"/>
    <w:rsid w:val="75BD0595"/>
    <w:rsid w:val="7608705F"/>
    <w:rsid w:val="76984A3E"/>
    <w:rsid w:val="77471FC0"/>
    <w:rsid w:val="777FA5D6"/>
    <w:rsid w:val="77B42785"/>
    <w:rsid w:val="787E1A12"/>
    <w:rsid w:val="78A5543C"/>
    <w:rsid w:val="78D45AD6"/>
    <w:rsid w:val="79D83AC2"/>
    <w:rsid w:val="7BCC27B4"/>
    <w:rsid w:val="7DE41F56"/>
    <w:rsid w:val="7E0856E7"/>
    <w:rsid w:val="7E0C4128"/>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4"/>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99"/>
    <w:pPr>
      <w:tabs>
        <w:tab w:val="left" w:pos="420"/>
      </w:tabs>
      <w:ind w:firstLine="480"/>
    </w:pPr>
    <w:rPr>
      <w:rFonts w:ascii="等线" w:hAnsi="等线" w:eastAsia="等线" w:cs="等线"/>
      <w:lang w:val="zh-CN" w:bidi="zh-CN"/>
    </w:rPr>
  </w:style>
  <w:style w:type="paragraph" w:styleId="6">
    <w:name w:val="Body Text Indent"/>
    <w:basedOn w:val="1"/>
    <w:next w:val="7"/>
    <w:qFormat/>
    <w:uiPriority w:val="0"/>
    <w:pPr>
      <w:spacing w:after="120" w:afterLines="0"/>
      <w:ind w:left="420" w:leftChars="200"/>
    </w:pPr>
  </w:style>
  <w:style w:type="paragraph" w:styleId="7">
    <w:name w:val="envelope return"/>
    <w:basedOn w:val="1"/>
    <w:qFormat/>
    <w:uiPriority w:val="0"/>
    <w:pPr>
      <w:snapToGrid w:val="0"/>
    </w:pPr>
    <w:rPr>
      <w:rFonts w:ascii="Arial" w:hAnsi="Arial"/>
      <w:szCs w:val="20"/>
    </w:rPr>
  </w:style>
  <w:style w:type="paragraph" w:styleId="8">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9">
    <w:name w:val="Body Text First Indent 2"/>
    <w:basedOn w:val="6"/>
    <w:next w:val="1"/>
    <w:unhideWhenUsed/>
    <w:qFormat/>
    <w:uiPriority w:val="0"/>
    <w:pPr>
      <w:ind w:firstLine="42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qFormat/>
    <w:uiPriority w:val="1"/>
    <w:pPr>
      <w:autoSpaceDE w:val="0"/>
      <w:autoSpaceDN w:val="0"/>
      <w:jc w:val="left"/>
    </w:pPr>
    <w:rPr>
      <w:rFonts w:ascii="宋体" w:hAnsi="宋体" w:eastAsia="宋体" w:cs="宋体"/>
      <w:kern w:val="0"/>
      <w:sz w:val="22"/>
    </w:rPr>
  </w:style>
  <w:style w:type="table" w:customStyle="1" w:styleId="14">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8405</Words>
  <Characters>10220</Characters>
  <Lines>22</Lines>
  <Paragraphs>6</Paragraphs>
  <TotalTime>1</TotalTime>
  <ScaleCrop>false</ScaleCrop>
  <LinksUpToDate>false</LinksUpToDate>
  <CharactersWithSpaces>10428</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亦旧.</cp:lastModifiedBy>
  <cp:lastPrinted>2021-05-25T08:19:00Z</cp:lastPrinted>
  <dcterms:modified xsi:type="dcterms:W3CDTF">2025-04-02T07:54:36Z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ECC8566045A84053B9B6B5C8CA024709</vt:lpwstr>
  </property>
</Properties>
</file>