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bookmarkStart w:id="0" w:name="_Hlk170115812"/>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煤矸石砖采购项目</w:t>
      </w:r>
      <w:bookmarkEnd w:id="0"/>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019</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default" w:ascii="Times New Roman" w:hAnsi="Times New Roman" w:eastAsia="楷体" w:cs="Times New Roman"/>
          <w:kern w:val="0"/>
          <w:sz w:val="32"/>
          <w:szCs w:val="32"/>
          <w:highlight w:val="none"/>
          <w:shd w:val="clear" w:color="auto" w:fill="auto"/>
          <w:lang w:val="en-US" w:eastAsia="zh-CN"/>
        </w:rPr>
        <w:t>亳州交控通路交通设施有限公司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2025年4</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煤矸石砖采购项目</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1" w:name="_Toc152045519"/>
      <w:bookmarkStart w:id="2" w:name="_Toc246996909"/>
      <w:bookmarkStart w:id="3" w:name="_Toc179632536"/>
      <w:bookmarkStart w:id="4" w:name="_Toc247085680"/>
      <w:bookmarkStart w:id="5" w:name="_Toc144974487"/>
      <w:bookmarkStart w:id="6" w:name="_Toc246996166"/>
      <w:bookmarkStart w:id="7" w:name="_Toc152042295"/>
      <w:bookmarkStart w:id="8" w:name="_Toc296602410"/>
      <w:r>
        <w:rPr>
          <w:rFonts w:hint="eastAsia" w:ascii="宋体" w:hAnsi="宋体" w:eastAsia="宋体" w:cs="宋体"/>
          <w:sz w:val="28"/>
          <w:szCs w:val="28"/>
          <w:highlight w:val="none"/>
          <w:u w:val="single"/>
          <w:lang w:val="en-US" w:eastAsia="zh-CN"/>
        </w:rPr>
        <w:t>煤矸石砖采购项目</w:t>
      </w:r>
      <w:r>
        <w:rPr>
          <w:rFonts w:hint="eastAsia" w:ascii="宋体" w:hAnsi="宋体" w:eastAsia="宋体" w:cs="宋体"/>
          <w:sz w:val="28"/>
          <w:szCs w:val="28"/>
          <w:highlight w:val="none"/>
          <w:lang w:val="en-US" w:eastAsia="zh-CN"/>
        </w:rPr>
        <w:t>已具备采购条件，现对该项目进行公开询比。</w:t>
      </w:r>
    </w:p>
    <w:bookmarkEnd w:id="1"/>
    <w:bookmarkEnd w:id="2"/>
    <w:bookmarkEnd w:id="3"/>
    <w:bookmarkEnd w:id="4"/>
    <w:bookmarkEnd w:id="5"/>
    <w:bookmarkEnd w:id="6"/>
    <w:bookmarkEnd w:id="7"/>
    <w:bookmarkEnd w:id="8"/>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9" w:name="_Toc246996910"/>
      <w:bookmarkStart w:id="10" w:name="_Toc152042296"/>
      <w:bookmarkStart w:id="11" w:name="_Toc246996167"/>
      <w:bookmarkStart w:id="12" w:name="_Toc247085681"/>
      <w:bookmarkStart w:id="13" w:name="_Toc152045520"/>
      <w:bookmarkStart w:id="14" w:name="_Toc296602411"/>
      <w:bookmarkStart w:id="15" w:name="_Toc179632537"/>
      <w:bookmarkStart w:id="16"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煤矸石砖采购项目</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019</w:t>
      </w:r>
      <w:r>
        <w:rPr>
          <w:rFonts w:hint="eastAsia" w:asciiTheme="minorEastAsia" w:hAnsiTheme="minorEastAsia" w:eastAsiaTheme="minorEastAsia" w:cstheme="minorEastAsia"/>
          <w:sz w:val="28"/>
          <w:szCs w:val="28"/>
          <w:highlight w:val="none"/>
          <w:lang w:val="en-US" w:eastAsia="zh-CN"/>
        </w:rPr>
        <w:t xml:space="preserve">号 </w:t>
      </w:r>
      <w:bookmarkEnd w:id="9"/>
      <w:bookmarkEnd w:id="10"/>
      <w:bookmarkEnd w:id="11"/>
      <w:bookmarkEnd w:id="12"/>
      <w:bookmarkEnd w:id="13"/>
      <w:bookmarkEnd w:id="14"/>
      <w:bookmarkEnd w:id="15"/>
      <w:bookmarkEnd w:id="16"/>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108.93万元</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本次采购的范围是煤矸石砖</w:t>
      </w:r>
      <w:r>
        <w:rPr>
          <w:rFonts w:hint="eastAsia" w:asciiTheme="minorEastAsia" w:hAnsiTheme="minorEastAsia" w:cstheme="minorEastAsia"/>
          <w:sz w:val="28"/>
          <w:szCs w:val="28"/>
          <w:highlight w:val="none"/>
          <w:lang w:val="en-US" w:eastAsia="zh-CN"/>
        </w:rPr>
        <w:t>，采购数量为暂定，具体数量以实际使用数量为准，据实结算，主要使用范围为亳州区域（不含三县）工程在建项目。</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自合同签订之日起90日历天。交货期自采购人</w:t>
      </w:r>
      <w:r>
        <w:rPr>
          <w:rFonts w:hint="eastAsia" w:asciiTheme="minorEastAsia" w:hAnsiTheme="minorEastAsia" w:cstheme="minorEastAsia"/>
          <w:sz w:val="28"/>
          <w:szCs w:val="28"/>
          <w:highlight w:val="none"/>
          <w:lang w:val="en-US" w:eastAsia="zh-CN"/>
        </w:rPr>
        <w:t>发出订单</w:t>
      </w:r>
      <w:r>
        <w:rPr>
          <w:rFonts w:hint="eastAsia" w:asciiTheme="minorEastAsia" w:hAnsiTheme="minorEastAsia" w:eastAsiaTheme="minorEastAsia" w:cstheme="minorEastAsia"/>
          <w:sz w:val="28"/>
          <w:szCs w:val="28"/>
          <w:highlight w:val="none"/>
          <w:lang w:val="en-US" w:eastAsia="zh-CN"/>
        </w:rPr>
        <w:t xml:space="preserve">通知之日起3 日内完成交货。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亳州市（不包含三县）</w:t>
      </w:r>
      <w:r>
        <w:rPr>
          <w:rFonts w:hint="eastAsia" w:asciiTheme="minorEastAsia" w:hAnsiTheme="minorEastAsia" w:cstheme="minorEastAsia"/>
          <w:sz w:val="28"/>
          <w:szCs w:val="28"/>
          <w:highlight w:val="none"/>
          <w:lang w:val="en-US" w:eastAsia="zh-CN"/>
        </w:rPr>
        <w:t>，采购人指定地点</w:t>
      </w:r>
      <w:r>
        <w:rPr>
          <w:rFonts w:hint="eastAsia" w:asciiTheme="minorEastAsia" w:hAnsiTheme="minorEastAsia" w:eastAsiaTheme="minorEastAsia" w:cstheme="minorEastAsia"/>
          <w:sz w:val="28"/>
          <w:szCs w:val="28"/>
          <w:highlight w:val="none"/>
          <w:lang w:val="en-US" w:eastAsia="zh-CN"/>
        </w:rPr>
        <w:t>。</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（一）具有独立承担民事责任的能力，并在人员、设备、资金等方面具有供应货物的能力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eastAsiaTheme="minorEastAsia" w:cstheme="minorEastAsia"/>
          <w:sz w:val="28"/>
          <w:szCs w:val="28"/>
          <w:highlight w:val="none"/>
          <w:u w:val="single"/>
          <w:lang w:val="en-US" w:eastAsia="zh-CN"/>
        </w:rPr>
        <w:t>单项合同金额不低于100万元的煤矸石砖</w:t>
      </w:r>
      <w:r>
        <w:rPr>
          <w:rFonts w:hint="eastAsia" w:asciiTheme="minorEastAsia" w:hAnsiTheme="minorEastAsia" w:cstheme="minorEastAsia"/>
          <w:sz w:val="28"/>
          <w:szCs w:val="28"/>
          <w:highlight w:val="none"/>
          <w:u w:val="single"/>
          <w:lang w:val="en-US" w:eastAsia="zh-CN"/>
        </w:rPr>
        <w:t>类似</w:t>
      </w:r>
      <w:r>
        <w:rPr>
          <w:rFonts w:hint="eastAsia" w:asciiTheme="minorEastAsia" w:hAnsiTheme="minorEastAsia" w:eastAsiaTheme="minorEastAsia" w:cstheme="minorEastAsia"/>
          <w:sz w:val="28"/>
          <w:szCs w:val="28"/>
          <w:highlight w:val="none"/>
          <w:u w:val="single"/>
          <w:lang w:val="en-US" w:eastAsia="zh-CN"/>
        </w:rPr>
        <w:t>供货业绩</w:t>
      </w:r>
      <w:permEnd w:id="18"/>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注：提供业绩合同、合同任意节点税务发票等相关资料复印件或扫描件装订入响应文件中。</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eastAsiaTheme="minorEastAsia" w:cstheme="minorEastAsia"/>
          <w:sz w:val="28"/>
          <w:szCs w:val="28"/>
          <w:highlight w:val="none"/>
          <w:u w:val="single"/>
          <w:lang w:val="en-US" w:eastAsia="zh-CN"/>
        </w:rPr>
        <w:t>2025年4月 11 日 9 时00分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1"/>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60E51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2"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11CEF2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eastAsiaTheme="minorEastAsia" w:cstheme="minorEastAsia"/>
          <w:sz w:val="28"/>
          <w:szCs w:val="28"/>
          <w:highlight w:val="none"/>
          <w:u w:val="single"/>
          <w:lang w:val="en-US" w:eastAsia="zh-CN"/>
        </w:rPr>
        <w:t>亳州市谯城区药都大道1289号</w:t>
      </w:r>
      <w:r>
        <w:rPr>
          <w:rFonts w:hint="eastAsia" w:asciiTheme="minorEastAsia" w:hAnsiTheme="minorEastAsia" w:cstheme="minorEastAsia"/>
          <w:sz w:val="28"/>
          <w:szCs w:val="28"/>
          <w:highlight w:val="none"/>
          <w:u w:val="single"/>
          <w:lang w:val="en-US" w:eastAsia="zh-CN"/>
        </w:rPr>
        <w:t>（亳州交控集团9楼法务部）；联系人：田工/张工；联系电话：0558-5190035。</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default" w:asciiTheme="minorEastAsia" w:hAnsiTheme="minorEastAsia" w:eastAsiaTheme="minorEastAsia" w:cstheme="minorEastAsia"/>
          <w:sz w:val="28"/>
          <w:szCs w:val="28"/>
          <w:highlight w:val="none"/>
          <w:lang w:val="en-US" w:eastAsia="zh-CN"/>
        </w:rPr>
        <w:t>亳州交控通路交通设施有限公司</w:t>
      </w:r>
    </w:p>
    <w:permEnd w:id="24"/>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 xml:space="preserve"> </w:t>
      </w:r>
      <w:permEnd w:id="25"/>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马经理 </w:t>
      </w:r>
      <w:permEnd w:id="26"/>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7" w:edGrp="everyone"/>
      <w:r>
        <w:rPr>
          <w:rFonts w:hint="default" w:asciiTheme="minorEastAsia" w:hAnsiTheme="minorEastAsia" w:eastAsiaTheme="minorEastAsia" w:cstheme="minorEastAsia"/>
          <w:sz w:val="28"/>
          <w:szCs w:val="28"/>
          <w:highlight w:val="none"/>
          <w:lang w:val="en-US" w:eastAsia="zh-CN"/>
        </w:rPr>
        <w:t>15656885650</w:t>
      </w:r>
      <w:r>
        <w:rPr>
          <w:rFonts w:hint="eastAsia" w:asciiTheme="minorEastAsia" w:hAnsiTheme="minorEastAsia" w:cstheme="minorEastAsia"/>
          <w:sz w:val="28"/>
          <w:szCs w:val="28"/>
          <w:highlight w:val="none"/>
          <w:lang w:val="en-US" w:eastAsia="zh-CN"/>
        </w:rPr>
        <w:t xml:space="preserve">  </w:t>
      </w:r>
      <w:permEnd w:id="27"/>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heme="minorEastAsia" w:hAnsiTheme="minorEastAsia" w:eastAsiaTheme="minorEastAsia" w:cstheme="minorEastAsia"/>
          <w:color w:val="FF0000"/>
          <w:sz w:val="28"/>
          <w:szCs w:val="28"/>
          <w:highlight w:val="none"/>
          <w:lang w:val="en-US" w:eastAsia="zh-CN"/>
        </w:rPr>
        <w:t>亳州交控通路交通设施有限公司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8 </w:t>
            </w:r>
            <w:r>
              <w:rPr>
                <w:rFonts w:hint="eastAsia" w:ascii="Times New Roman" w:hAnsi="Times New Roman" w:cs="Times New Roman"/>
                <w:szCs w:val="21"/>
                <w:highlight w:val="none"/>
                <w:u w:val="none"/>
                <w:lang w:val="en-US" w:eastAsia="zh-CN"/>
              </w:rPr>
              <w:t>日前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6" w:edGrp="everyone"/>
            <w:r>
              <w:rPr>
                <w:rFonts w:hint="eastAsia" w:ascii="Times New Roman" w:hAnsi="Times New Roman" w:cs="Times New Roman"/>
                <w:color w:val="FF0000"/>
                <w:szCs w:val="21"/>
                <w:highlight w:val="none"/>
                <w:u w:val="single"/>
                <w:lang w:val="en-US" w:eastAsia="zh-CN"/>
              </w:rPr>
              <w:t>￥20000元</w:t>
            </w:r>
            <w:r>
              <w:rPr>
                <w:rFonts w:hint="eastAsia" w:ascii="Times New Roman" w:hAnsi="Times New Roman" w:cs="Times New Roman"/>
                <w:color w:val="FF0000"/>
                <w:szCs w:val="21"/>
                <w:highlight w:val="none"/>
                <w:lang w:val="en-US" w:eastAsia="zh-CN"/>
              </w:rPr>
              <w:t xml:space="preserve"> </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BZJK-2025-019号保证金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395C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2ECAD35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4C2E576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煤矸石砖采购项目</w:t>
            </w:r>
            <w:r>
              <w:rPr>
                <w:rFonts w:hint="eastAsia" w:ascii="Times New Roman" w:hAnsi="Times New Roman" w:cs="Times New Roman"/>
                <w:color w:val="FF0000"/>
                <w:szCs w:val="21"/>
                <w:highlight w:val="none"/>
                <w:lang w:val="en-US" w:eastAsia="zh-CN"/>
              </w:rPr>
              <w:t>响应文件</w:t>
            </w:r>
          </w:p>
          <w:p w14:paraId="20FC1A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019</w:t>
            </w:r>
            <w:r>
              <w:rPr>
                <w:rFonts w:hint="eastAsia" w:ascii="Times New Roman" w:hAnsi="Times New Roman" w:cs="Times New Roman"/>
                <w:color w:val="FF0000"/>
                <w:szCs w:val="21"/>
                <w:highlight w:val="none"/>
                <w:u w:val="none"/>
                <w:lang w:val="en-US" w:eastAsia="zh-CN"/>
              </w:rPr>
              <w:t>号</w:t>
            </w:r>
          </w:p>
          <w:p w14:paraId="298357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0"/>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57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55869B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583619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1"/>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采购人银行账户：</w:t>
            </w:r>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w:t>
            </w:r>
          </w:p>
          <w:p w14:paraId="030808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银行账号：20010144152866600000014</w:t>
            </w:r>
          </w:p>
          <w:permEnd w:id="42"/>
          <w:p w14:paraId="0EED324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3"/>
          </w:p>
          <w:p w14:paraId="2C06CE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4" w:edGrp="everyone"/>
            <w:r>
              <w:rPr>
                <w:rFonts w:hint="eastAsia" w:ascii="Times New Roman" w:hAnsi="Times New Roman" w:cs="Times New Roman"/>
                <w:b/>
                <w:bCs/>
                <w:color w:val="FF0000"/>
                <w:szCs w:val="21"/>
                <w:highlight w:val="none"/>
                <w:lang w:val="en-US" w:eastAsia="zh-CN"/>
              </w:rPr>
              <w:t xml:space="preserve">人民币20000元 </w:t>
            </w:r>
            <w:permEnd w:id="44"/>
          </w:p>
          <w:p w14:paraId="273F09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296602423"/>
      <w:bookmarkStart w:id="18" w:name="_Toc144974500"/>
      <w:bookmarkStart w:id="19" w:name="_Toc152042308"/>
      <w:bookmarkStart w:id="20" w:name="_Toc247085692"/>
      <w:bookmarkStart w:id="21" w:name="_Toc152045532"/>
      <w:bookmarkStart w:id="22" w:name="_Toc179632549"/>
      <w:bookmarkStart w:id="23" w:name="_Toc246996178"/>
      <w:bookmarkStart w:id="24" w:name="_Toc246996921"/>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52042312"/>
      <w:bookmarkStart w:id="26" w:name="_Toc152045536"/>
      <w:bookmarkStart w:id="27" w:name="_Toc144974504"/>
      <w:bookmarkStart w:id="28" w:name="_Toc247085695"/>
      <w:bookmarkStart w:id="29" w:name="_Toc246996924"/>
      <w:bookmarkStart w:id="30" w:name="_Toc296602426"/>
      <w:bookmarkStart w:id="31" w:name="_Toc179632553"/>
      <w:bookmarkStart w:id="32" w:name="_Toc246996181"/>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247085696"/>
      <w:bookmarkStart w:id="35" w:name="_Toc179632554"/>
      <w:bookmarkStart w:id="36" w:name="_Toc296602427"/>
      <w:bookmarkStart w:id="37" w:name="_Toc152042313"/>
      <w:bookmarkStart w:id="38" w:name="_Toc246996925"/>
      <w:bookmarkStart w:id="39" w:name="_Toc152045537"/>
      <w:bookmarkStart w:id="40" w:name="_Toc246996182"/>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247085697"/>
      <w:bookmarkStart w:id="42" w:name="_Toc246996926"/>
      <w:bookmarkStart w:id="43" w:name="_Toc152042314"/>
      <w:bookmarkStart w:id="44" w:name="_Toc246996183"/>
      <w:bookmarkStart w:id="45" w:name="_Toc179632555"/>
      <w:bookmarkStart w:id="46" w:name="_Toc144974506"/>
      <w:bookmarkStart w:id="47"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30"/>
      <w:bookmarkStart w:id="49" w:name="_Toc144974510"/>
      <w:bookmarkStart w:id="50" w:name="_Toc247085701"/>
      <w:bookmarkStart w:id="51" w:name="_Toc179632560"/>
      <w:bookmarkStart w:id="52" w:name="_Toc246996187"/>
      <w:bookmarkStart w:id="53" w:name="_Toc152045542"/>
      <w:bookmarkStart w:id="54" w:name="_Toc296602432"/>
      <w:bookmarkStart w:id="55" w:name="_Toc152042318"/>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152042319"/>
      <w:bookmarkStart w:id="57" w:name="_Toc246996188"/>
      <w:bookmarkStart w:id="58" w:name="_Toc296602433"/>
      <w:bookmarkStart w:id="59" w:name="_Toc246996931"/>
      <w:bookmarkStart w:id="60" w:name="_Toc144974511"/>
      <w:bookmarkStart w:id="61" w:name="_Toc152045543"/>
      <w:bookmarkStart w:id="62" w:name="_Toc247085702"/>
      <w:bookmarkStart w:id="63" w:name="_Toc179632561"/>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44"/>
      <w:bookmarkStart w:id="65" w:name="_Toc152042320"/>
      <w:bookmarkStart w:id="66" w:name="_Toc246996189"/>
      <w:bookmarkStart w:id="67" w:name="_Toc144974512"/>
      <w:bookmarkStart w:id="68" w:name="_Toc246996932"/>
      <w:bookmarkStart w:id="69" w:name="_Toc179632562"/>
      <w:bookmarkStart w:id="70" w:name="_Toc247085703"/>
      <w:bookmarkStart w:id="71" w:name="_Toc296602434"/>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5545"/>
      <w:bookmarkStart w:id="73" w:name="_Toc296602435"/>
      <w:bookmarkStart w:id="74" w:name="_Toc152042321"/>
      <w:bookmarkStart w:id="75" w:name="_Toc179632563"/>
      <w:bookmarkStart w:id="76" w:name="_Toc144974513"/>
      <w:bookmarkStart w:id="77" w:name="_Toc246996190"/>
      <w:bookmarkStart w:id="78" w:name="_Toc247085704"/>
      <w:bookmarkStart w:id="79" w:name="_Toc246996933"/>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0" w:name="_Toc179632564"/>
      <w:bookmarkStart w:id="81" w:name="_Toc296602436"/>
      <w:bookmarkStart w:id="82" w:name="_Toc246996191"/>
      <w:bookmarkStart w:id="83" w:name="_Toc247085705"/>
      <w:bookmarkStart w:id="84" w:name="_Toc152045546"/>
      <w:bookmarkStart w:id="85" w:name="_Toc152042322"/>
      <w:bookmarkStart w:id="86" w:name="_Toc246996934"/>
      <w:bookmarkStart w:id="87" w:name="_Toc144974514"/>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246996192"/>
      <w:bookmarkStart w:id="89" w:name="_Toc246996935"/>
      <w:bookmarkStart w:id="90" w:name="_Toc247085706"/>
      <w:bookmarkStart w:id="91" w:name="_Toc144974515"/>
      <w:bookmarkStart w:id="92" w:name="_Toc152042323"/>
      <w:bookmarkStart w:id="93" w:name="_Toc296602437"/>
      <w:bookmarkStart w:id="94" w:name="_Toc152045547"/>
      <w:bookmarkStart w:id="95"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152042324"/>
      <w:bookmarkStart w:id="97" w:name="_Toc296602438"/>
      <w:bookmarkStart w:id="98" w:name="_Toc144974516"/>
      <w:bookmarkStart w:id="99" w:name="_Toc179632566"/>
      <w:bookmarkStart w:id="100" w:name="_Toc247085707"/>
      <w:bookmarkStart w:id="101" w:name="_Toc246996936"/>
      <w:bookmarkStart w:id="102" w:name="_Toc152045548"/>
      <w:bookmarkStart w:id="103" w:name="_Toc246996193"/>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79632567"/>
      <w:bookmarkStart w:id="105" w:name="_Toc152045549"/>
      <w:bookmarkStart w:id="106" w:name="_Toc152042325"/>
      <w:bookmarkStart w:id="107"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6996194"/>
      <w:bookmarkStart w:id="109" w:name="_Toc296602439"/>
      <w:bookmarkStart w:id="110" w:name="_Toc246996937"/>
      <w:bookmarkStart w:id="111" w:name="_Toc247085708"/>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246996942"/>
      <w:bookmarkStart w:id="113" w:name="_Toc179632573"/>
      <w:bookmarkStart w:id="114" w:name="_Toc246996199"/>
      <w:bookmarkStart w:id="115" w:name="_Toc152045555"/>
      <w:bookmarkStart w:id="116" w:name="_Toc152042331"/>
      <w:bookmarkStart w:id="117" w:name="_Toc296602443"/>
      <w:bookmarkStart w:id="118" w:name="_Toc247085713"/>
      <w:bookmarkStart w:id="119" w:name="_Toc144974523"/>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246996943"/>
      <w:bookmarkStart w:id="121" w:name="_Toc296602444"/>
      <w:bookmarkStart w:id="122" w:name="_Toc179632574"/>
      <w:bookmarkStart w:id="123" w:name="_Toc247085714"/>
      <w:bookmarkStart w:id="124" w:name="_Toc246996200"/>
      <w:bookmarkStart w:id="125" w:name="_Toc152042332"/>
      <w:bookmarkStart w:id="126" w:name="_Toc152045556"/>
      <w:bookmarkStart w:id="127" w:name="_Toc144974524"/>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246996944"/>
      <w:bookmarkStart w:id="129" w:name="_Toc246996201"/>
      <w:bookmarkStart w:id="130" w:name="_Toc152045557"/>
      <w:bookmarkStart w:id="131" w:name="_Toc144974525"/>
      <w:bookmarkStart w:id="132" w:name="_Toc152042333"/>
      <w:bookmarkStart w:id="133" w:name="_Toc247085715"/>
      <w:bookmarkStart w:id="134"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16"/>
      <w:bookmarkStart w:id="136" w:name="_Toc144974526"/>
      <w:bookmarkStart w:id="137" w:name="_Toc179632576"/>
      <w:bookmarkStart w:id="138" w:name="_Toc246996945"/>
      <w:bookmarkStart w:id="139" w:name="_Toc246996202"/>
      <w:bookmarkStart w:id="140" w:name="_Toc152045558"/>
      <w:bookmarkStart w:id="141" w:name="_Toc296602446"/>
      <w:bookmarkStart w:id="142" w:name="_Toc152042334"/>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152045559"/>
      <w:bookmarkStart w:id="144" w:name="_Toc246996203"/>
      <w:bookmarkStart w:id="145" w:name="_Toc247085717"/>
      <w:bookmarkStart w:id="146" w:name="_Toc152042335"/>
      <w:bookmarkStart w:id="147" w:name="_Toc144974527"/>
      <w:bookmarkStart w:id="148" w:name="_Toc179632577"/>
      <w:bookmarkStart w:id="149" w:name="_Toc296602447"/>
      <w:bookmarkStart w:id="150" w:name="_Toc246996946"/>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79632578"/>
      <w:bookmarkStart w:id="152" w:name="_Toc144974528"/>
      <w:bookmarkStart w:id="153" w:name="_Toc246996947"/>
      <w:bookmarkStart w:id="154" w:name="_Toc246996204"/>
      <w:bookmarkStart w:id="155" w:name="_Toc152042336"/>
      <w:bookmarkStart w:id="156" w:name="_Toc296602448"/>
      <w:bookmarkStart w:id="157" w:name="_Toc247085718"/>
      <w:bookmarkStart w:id="158"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44974529"/>
      <w:bookmarkStart w:id="160" w:name="_Toc247085719"/>
      <w:bookmarkStart w:id="161" w:name="_Toc179632579"/>
      <w:bookmarkStart w:id="162" w:name="_Toc152042337"/>
      <w:bookmarkStart w:id="163" w:name="_Toc152045561"/>
      <w:bookmarkStart w:id="164" w:name="_Toc246996948"/>
      <w:bookmarkStart w:id="165" w:name="_Toc246996205"/>
      <w:bookmarkStart w:id="166" w:name="_Toc296602449"/>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21"/>
      <w:bookmarkStart w:id="168" w:name="_Toc152042339"/>
      <w:bookmarkStart w:id="169" w:name="_Toc144974531"/>
      <w:bookmarkStart w:id="170" w:name="_Toc246996207"/>
      <w:bookmarkStart w:id="171" w:name="_Toc246996950"/>
      <w:bookmarkStart w:id="172" w:name="_Toc179632581"/>
      <w:bookmarkStart w:id="173" w:name="_Toc152045563"/>
      <w:bookmarkStart w:id="174" w:name="_Toc296602452"/>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246996953"/>
      <w:bookmarkStart w:id="176" w:name="_Toc152042342"/>
      <w:bookmarkStart w:id="177" w:name="_Toc152045566"/>
      <w:bookmarkStart w:id="178" w:name="_Toc246996210"/>
      <w:bookmarkStart w:id="179" w:name="_Toc144974534"/>
      <w:bookmarkStart w:id="180" w:name="_Toc247085724"/>
      <w:bookmarkStart w:id="181" w:name="_Toc179632584"/>
      <w:bookmarkStart w:id="182" w:name="_Toc296602455"/>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56"/>
      <w:bookmarkStart w:id="184" w:name="_Toc152045567"/>
      <w:bookmarkStart w:id="185" w:name="_Toc179632585"/>
      <w:bookmarkStart w:id="186" w:name="_Toc246996211"/>
      <w:bookmarkStart w:id="187" w:name="_Toc247085725"/>
      <w:bookmarkStart w:id="188" w:name="_Toc246996954"/>
      <w:bookmarkStart w:id="189" w:name="_Toc144974535"/>
      <w:bookmarkStart w:id="190" w:name="_Toc152042343"/>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36"/>
      <w:bookmarkStart w:id="193" w:name="_Toc247085726"/>
      <w:bookmarkStart w:id="194" w:name="_Toc152045568"/>
      <w:bookmarkStart w:id="195" w:name="_Toc246996955"/>
      <w:bookmarkStart w:id="196" w:name="_Toc152042344"/>
      <w:bookmarkStart w:id="197" w:name="_Toc246996212"/>
      <w:bookmarkStart w:id="198" w:name="_Toc296602458"/>
      <w:bookmarkStart w:id="199" w:name="_Toc179632586"/>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52045569"/>
      <w:bookmarkStart w:id="201" w:name="_Toc179632587"/>
      <w:bookmarkStart w:id="202" w:name="_Toc152042345"/>
      <w:bookmarkStart w:id="203" w:name="_Toc144974537"/>
      <w:bookmarkStart w:id="204" w:name="_Toc246996213"/>
      <w:bookmarkStart w:id="205" w:name="_Toc296602459"/>
      <w:bookmarkStart w:id="206" w:name="_Toc247085727"/>
      <w:bookmarkStart w:id="207" w:name="_Toc246996956"/>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179632593"/>
      <w:bookmarkStart w:id="210" w:name="_Toc144974543"/>
      <w:bookmarkStart w:id="211" w:name="_Toc247085733"/>
      <w:bookmarkStart w:id="212" w:name="_Toc246996962"/>
      <w:bookmarkStart w:id="213" w:name="_Toc246996219"/>
      <w:bookmarkStart w:id="214" w:name="_Toc152045575"/>
      <w:bookmarkStart w:id="215" w:name="_Toc296602462"/>
      <w:bookmarkStart w:id="216" w:name="_Toc152042351"/>
      <w:bookmarkStart w:id="217" w:name="_Toc296590983"/>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18" w:name="_Toc246996220"/>
      <w:bookmarkStart w:id="219" w:name="_Toc246996963"/>
      <w:bookmarkStart w:id="220" w:name="_Toc144974544"/>
      <w:bookmarkStart w:id="221" w:name="_Toc152042352"/>
      <w:bookmarkStart w:id="222" w:name="_Toc152045576"/>
      <w:bookmarkStart w:id="223" w:name="_Toc179632594"/>
      <w:bookmarkStart w:id="224" w:name="_Toc296602463"/>
      <w:bookmarkStart w:id="225" w:name="_Toc247085734"/>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144974545"/>
      <w:bookmarkStart w:id="227" w:name="_Toc247085735"/>
      <w:bookmarkStart w:id="228" w:name="_Toc152045577"/>
      <w:bookmarkStart w:id="229" w:name="_Toc296602464"/>
      <w:bookmarkStart w:id="230" w:name="_Toc246996221"/>
      <w:bookmarkStart w:id="231" w:name="_Toc246996964"/>
      <w:bookmarkStart w:id="232" w:name="_Toc179632595"/>
      <w:bookmarkStart w:id="233" w:name="_Toc152042353"/>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6" w:edGrp="everyone"/>
      <w:r>
        <w:rPr>
          <w:rFonts w:hint="eastAsia" w:ascii="宋体" w:hAnsi="宋体"/>
          <w:color w:val="FF0000"/>
          <w:sz w:val="24"/>
          <w:lang w:val="en-US" w:eastAsia="zh-CN"/>
        </w:rPr>
        <w:t>最低评审价法</w:t>
      </w:r>
      <w:permEnd w:id="46"/>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3CD7B1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DA3E4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4" w:name="_Toc144974556"/>
            <w:bookmarkStart w:id="235" w:name="_Toc152042366"/>
            <w:bookmarkStart w:id="236" w:name="_Toc296602477"/>
            <w:bookmarkStart w:id="237" w:name="_Toc152045589"/>
            <w:bookmarkStart w:id="238" w:name="_Toc179632607"/>
            <w:bookmarkStart w:id="239" w:name="_Toc247085747"/>
            <w:bookmarkStart w:id="240" w:name="_Toc246996975"/>
            <w:bookmarkStart w:id="241"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56956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0B50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6298A5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1B91F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0539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1C387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224B8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2A864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0B99E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3DEB37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3AB3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C72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A801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3D018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5023F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FED7A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E42A2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10A5B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89722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E8085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2BA19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8494D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B1279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B19A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5DD8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B5D8E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41C32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1FE88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3D3D5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48ACE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951A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8A4DE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799A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D01B3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42" w:name="_Toc179632611"/>
      <w:bookmarkStart w:id="243" w:name="_Toc152045593"/>
      <w:bookmarkStart w:id="244" w:name="_Toc247085751"/>
      <w:bookmarkStart w:id="245" w:name="_Toc246996236"/>
      <w:bookmarkStart w:id="246" w:name="_Toc246996979"/>
      <w:bookmarkStart w:id="247" w:name="_Toc152042370"/>
      <w:bookmarkStart w:id="248" w:name="_Toc144974560"/>
      <w:bookmarkStart w:id="249"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246996982"/>
      <w:bookmarkStart w:id="252" w:name="_Toc152045596"/>
      <w:bookmarkStart w:id="253" w:name="_Toc152042373"/>
      <w:bookmarkStart w:id="254" w:name="_Toc247085754"/>
      <w:bookmarkStart w:id="255" w:name="_Toc296602484"/>
      <w:bookmarkStart w:id="256" w:name="_Toc179632614"/>
      <w:bookmarkStart w:id="257"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7"/>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48"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分项目独立结算，根据工程形象进度，按月支付经采购人验收合格货物价款的80%，供货完成并经采购人验收合格后，付至实际完成合同价款的100%。</w:t>
            </w:r>
            <w:permEnd w:id="48"/>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1C0761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23F181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color w:val="FF0000"/>
                <w:kern w:val="0"/>
                <w:sz w:val="24"/>
                <w:szCs w:val="24"/>
                <w:highlight w:val="none"/>
                <w:shd w:val="clear" w:color="auto" w:fill="auto"/>
                <w:vertAlign w:val="baseline"/>
                <w:lang w:val="en-US" w:eastAsia="zh-CN"/>
              </w:rPr>
              <w:t>1、采购人提前三天将供货计划告知成交人，成交人得到计划后应在采购人通知后三天内供货。</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2、由成交人负责货物的装车运输，并运至指定地点，到工地后由成交人负责卸货。货物到达指定地点后，采购人及时派收货员对货物的数量进行验收，并在送货单据上签字确认，并向成交人提供采购人签字确认后的入库单。 </w:t>
            </w:r>
            <w:permEnd w:id="49"/>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4"/>
    <w:bookmarkEnd w:id="235"/>
    <w:bookmarkEnd w:id="236"/>
    <w:bookmarkEnd w:id="237"/>
    <w:bookmarkEnd w:id="238"/>
    <w:bookmarkEnd w:id="239"/>
    <w:bookmarkEnd w:id="240"/>
    <w:bookmarkEnd w:id="241"/>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F071788">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heme="majorEastAsia" w:hAnsiTheme="majorEastAsia" w:eastAsiaTheme="majorEastAsia" w:cstheme="majorEastAsia"/>
          <w:b/>
          <w:bCs/>
          <w:sz w:val="32"/>
          <w:szCs w:val="32"/>
          <w:highlight w:val="none"/>
          <w:lang w:val="en-US" w:eastAsia="zh-CN"/>
        </w:rPr>
      </w:pPr>
      <w:permStart w:id="50" w:edGrp="everyone"/>
      <w:r>
        <w:rPr>
          <w:rFonts w:hint="eastAsia" w:asciiTheme="majorEastAsia" w:hAnsiTheme="majorEastAsia" w:eastAsiaTheme="majorEastAsia" w:cstheme="majorEastAsia"/>
          <w:b/>
          <w:bCs/>
          <w:sz w:val="32"/>
          <w:szCs w:val="32"/>
          <w:highlight w:val="none"/>
          <w:lang w:val="en-US" w:eastAsia="zh-CN"/>
        </w:rPr>
        <w:t>采购人要求</w:t>
      </w:r>
    </w:p>
    <w:p w14:paraId="1C89DB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1.货物进场前需提供合格证、检测证明等相关材料，材料需运至项目现场，并卸至项目部指定位置；</w:t>
      </w:r>
    </w:p>
    <w:p w14:paraId="4FFE41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2、供货人运至现场的材料，需确保材料符合国标及行业现行质量要求，如因材料不符合要求造成退场，每次罚款3000元；</w:t>
      </w:r>
    </w:p>
    <w:p w14:paraId="7439D4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3、材料进场前需先提供样品，后期材料需与样品一致，如发现弄虚作假，以次充好等现象，发现一次罚款3000元，三次以上解除合同；</w:t>
      </w:r>
    </w:p>
    <w:p w14:paraId="3F7CD0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采购人一般提前三天通知成交人供货，如因成交人原因未能按期供货，造成项目工期延误，误期赔偿费按照1000元/天计算（特殊加工定制的材料除外），并向采购人偿付逾期交货的违约金（违约金按逾期交货部分货款万分之五每日计算）逾期超过5天，采购人有权解除合同，并有权要求成交人承担逾期交货部分货款15%的违约金。</w:t>
      </w:r>
    </w:p>
    <w:p w14:paraId="577C62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5、成交人按采购人要求的产品数量供货，如发生货物剩余，由成交人回收，所产生的装卸运输费用由成交人承担，采购人按照实际用量进行结算。</w:t>
      </w:r>
    </w:p>
    <w:p w14:paraId="1EDFB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6.合同期间，若发现成交人存在以下行为的，采购人有权单方面解除合同，没收其履约保证金:</w:t>
      </w:r>
    </w:p>
    <w:p w14:paraId="457FA3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(1)出现供货产品质量不合格的;</w:t>
      </w:r>
    </w:p>
    <w:p w14:paraId="15F900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14:paraId="680C89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(3)3次及以上虚报供货产品数量的;</w:t>
      </w:r>
    </w:p>
    <w:p w14:paraId="0AD11A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(4)其他严重损害采购人利益的行为。</w:t>
      </w:r>
    </w:p>
    <w:p w14:paraId="2ED3B0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7、成交人应按采购人实际需求，将产品足量备货到仓库，并配合采购人做好供货仓储计划，保障建材及时供应，保障采购人建设项目施工的正常进行，切实为采购人提供快捷可靠的服务。</w:t>
      </w:r>
    </w:p>
    <w:p w14:paraId="61BA70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8、采购人对供应产品具有自主选择权，实际供应产品的数量、规格、型号等均以采购人订单通知为准。</w:t>
      </w:r>
    </w:p>
    <w:p w14:paraId="5F2964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9、如因成交人延期交货，给采购人造成损失的，成交人应据实承担所有经济赔偿和法律责任。</w:t>
      </w:r>
    </w:p>
    <w:p w14:paraId="13D70B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10、对于采购人以书面或电话形式提出的质量、服务等问题，成交人应于24小时内予以答复响应。</w:t>
      </w:r>
    </w:p>
    <w:p w14:paraId="6F4C35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11、成交人如有违反质量承诺的，采购人有权没收其履约保证金，给采购人造成损失的同时应承担赔偿责任。</w:t>
      </w:r>
    </w:p>
    <w:p w14:paraId="12F01F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成交人对供应产品应以国家或行业标准配送，不得以次充好，不得偷工减料，对质量不合格的产品应实行包退、包换;若因供应商供应产品质量问题或以次充好或偷工减料造成的工程安全事故，成交人应承担所有经济赔偿和法律责任。</w:t>
      </w:r>
    </w:p>
    <w:p w14:paraId="0FEC6D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13、合同期间，若发现成交人存在虚报供应产品数量或价格的，采购人有权扣除履约保证金的10%每次作为违约金。</w:t>
      </w:r>
    </w:p>
    <w:p w14:paraId="57AF7E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14、成交人人员在采购人施工现场造成本人或者第三人人身、财产损失:成交人应自行承担责任，若因此导致采购人经济损失，采购人有权对成交人追偿。</w:t>
      </w:r>
    </w:p>
    <w:p w14:paraId="4059E8D1">
      <w:pPr>
        <w:pStyle w:val="2"/>
        <w:ind w:left="0" w:leftChars="0" w:firstLine="480" w:firstLineChars="200"/>
        <w:rPr>
          <w:rFonts w:hint="default"/>
          <w:lang w:val="en-US" w:eastAsia="zh-CN"/>
        </w:rPr>
      </w:pPr>
      <w:r>
        <w:rPr>
          <w:rFonts w:hint="eastAsia" w:ascii="Times New Roman" w:hAnsi="Times New Roman" w:cs="Times New Roman"/>
          <w:kern w:val="0"/>
          <w:sz w:val="24"/>
          <w:szCs w:val="24"/>
          <w:highlight w:val="none"/>
          <w:lang w:val="en-US" w:eastAsia="zh-CN"/>
        </w:rPr>
        <w:t>15、成交后成交人需委派供货联络员一名负责供货事宜。</w:t>
      </w:r>
      <w:permEnd w:id="50"/>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煤矸石砖采购项目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5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019</w:t>
      </w:r>
      <w:r>
        <w:rPr>
          <w:rFonts w:hint="default" w:ascii="Times New Roman" w:hAnsi="Times New Roman" w:eastAsia="楷体" w:cs="Times New Roman"/>
          <w:kern w:val="0"/>
          <w:sz w:val="28"/>
          <w:szCs w:val="28"/>
          <w:highlight w:val="none"/>
          <w:shd w:val="clear" w:color="auto" w:fill="auto"/>
          <w:lang w:val="en-US" w:eastAsia="zh-CN"/>
        </w:rPr>
        <w:t>号</w:t>
      </w:r>
      <w:permEnd w:id="51"/>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58" w:name="_Toc152042576"/>
      <w:bookmarkStart w:id="259" w:name="_Toc152045787"/>
      <w:bookmarkStart w:id="260" w:name="_Toc247527827"/>
      <w:bookmarkStart w:id="261" w:name="_Toc300835209"/>
      <w:bookmarkStart w:id="262" w:name="_Toc247514246"/>
      <w:bookmarkStart w:id="263" w:name="_Toc144974856"/>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64" w:name="_Toc152042577"/>
      <w:bookmarkStart w:id="265" w:name="_Toc300835210"/>
      <w:bookmarkStart w:id="266" w:name="_Toc247514247"/>
      <w:bookmarkStart w:id="267" w:name="_Toc247527828"/>
      <w:bookmarkStart w:id="268" w:name="_Toc152045788"/>
      <w:bookmarkStart w:id="269"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144974859"/>
      <w:bookmarkStart w:id="271" w:name="_Toc247514249"/>
      <w:bookmarkStart w:id="272" w:name="_Toc152045790"/>
      <w:bookmarkStart w:id="273" w:name="_Toc152042579"/>
      <w:bookmarkStart w:id="274" w:name="_Toc247527830"/>
      <w:bookmarkStart w:id="275" w:name="_Toc300835212"/>
      <w:r>
        <w:rPr>
          <w:rFonts w:hint="default" w:ascii="Times New Roman" w:hAnsi="Times New Roman" w:cs="Times New Roman"/>
          <w:szCs w:val="21"/>
          <w:u w:val="single"/>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煤矸石砖采购项目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52" w:edGrp="everyone"/>
      <w:r>
        <w:rPr>
          <w:rFonts w:hint="eastAsia" w:ascii="Times New Roman" w:hAnsi="Times New Roman" w:cs="Times New Roman"/>
          <w:szCs w:val="21"/>
          <w:u w:val="single"/>
          <w:lang w:val="en-US" w:eastAsia="zh-CN"/>
        </w:rPr>
        <w:t>BZJK-2025-019号</w:t>
      </w:r>
      <w:permEnd w:id="5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询比文件的全部内容，愿意以</w:t>
      </w:r>
      <w:permStart w:id="5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53"/>
      <w:r>
        <w:rPr>
          <w:rFonts w:hint="eastAsia" w:ascii="Times New Roman" w:hAnsi="Times New Roman" w:cs="Times New Roman"/>
          <w:szCs w:val="21"/>
          <w:lang w:val="en-US" w:eastAsia="zh-CN"/>
        </w:rPr>
        <w:t>，供货期：</w:t>
      </w:r>
      <w:permStart w:id="54" w:edGrp="everyone"/>
      <w:r>
        <w:rPr>
          <w:rFonts w:hint="eastAsia" w:ascii="Times New Roman" w:hAnsi="Times New Roman" w:cs="Times New Roman"/>
          <w:szCs w:val="21"/>
          <w:lang w:val="en-US" w:eastAsia="zh-CN"/>
        </w:rPr>
        <w:t>自合同签订之日起90日历天。交货期自采购人通知之日起3 日内完成交货</w:t>
      </w:r>
      <w:permEnd w:id="54"/>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5"/>
        <w:jc w:val="both"/>
        <w:rPr>
          <w:rFonts w:hint="default" w:ascii="Times New Roman" w:hAnsi="Times New Roman" w:cs="Times New Roman"/>
        </w:rPr>
      </w:pPr>
      <w:bookmarkStart w:id="276" w:name="_Toc300835213"/>
      <w:bookmarkStart w:id="277" w:name="_Toc247514283"/>
      <w:bookmarkStart w:id="278" w:name="_Toc152045791"/>
      <w:bookmarkStart w:id="279" w:name="_Toc144974860"/>
      <w:bookmarkStart w:id="280" w:name="_Toc152042580"/>
      <w:bookmarkStart w:id="281" w:name="_Toc247527831"/>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144974861"/>
      <w:bookmarkStart w:id="283" w:name="_Toc247514284"/>
      <w:bookmarkStart w:id="284" w:name="_Toc152042581"/>
      <w:bookmarkStart w:id="285" w:name="_Toc247527832"/>
      <w:bookmarkStart w:id="286" w:name="_Toc300835214"/>
      <w:bookmarkStart w:id="287"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default" w:ascii="Times New Roman" w:hAnsi="Times New Roman" w:cs="Times New Roman"/>
          <w:szCs w:val="21"/>
          <w:u w:val="single"/>
        </w:rPr>
        <w:t>煤矸石砖采购项目</w:t>
      </w:r>
      <w:r>
        <w:rPr>
          <w:rFonts w:hint="eastAsia" w:ascii="Times New Roman" w:hAnsi="Times New Roman" w:cs="Times New Roman"/>
          <w:szCs w:val="21"/>
          <w:u w:val="single"/>
          <w:lang w:val="en-US" w:eastAsia="zh-CN"/>
        </w:rPr>
        <w:t>（BZJK-2025-019号）</w:t>
      </w:r>
      <w:r>
        <w:rPr>
          <w:rFonts w:hint="eastAsia" w:ascii="Times New Roman" w:hAnsi="Times New Roman" w:cs="Times New Roman"/>
          <w:szCs w:val="21"/>
          <w:lang w:val="en-US" w:eastAsia="zh-CN"/>
        </w:rPr>
        <w:t>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01FFBC9">
      <w:pPr>
        <w:spacing w:line="440" w:lineRule="exact"/>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8" w:name="_Toc152042583"/>
      <w:bookmarkStart w:id="289" w:name="_Toc247514286"/>
      <w:bookmarkStart w:id="290" w:name="_Toc247527834"/>
      <w:bookmarkStart w:id="291" w:name="_Toc300835216"/>
      <w:bookmarkStart w:id="292" w:name="_Toc152045794"/>
      <w:bookmarkStart w:id="293" w:name="_Toc144974862"/>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247527835"/>
      <w:bookmarkStart w:id="296" w:name="_Toc152045795"/>
      <w:bookmarkStart w:id="297" w:name="_Toc247514287"/>
      <w:bookmarkStart w:id="298" w:name="_Toc144974863"/>
      <w:bookmarkStart w:id="299" w:name="_Toc152042584"/>
      <w:bookmarkStart w:id="300"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5"/>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5"/>
      <w:bookmarkEnd w:id="296"/>
      <w:bookmarkEnd w:id="297"/>
      <w:bookmarkEnd w:id="298"/>
      <w:bookmarkEnd w:id="299"/>
      <w:bookmarkEnd w:id="300"/>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1" w:name="_Toc144974864"/>
      <w:bookmarkStart w:id="302" w:name="_Toc247527836"/>
      <w:bookmarkStart w:id="303" w:name="_Toc247514288"/>
      <w:bookmarkStart w:id="304" w:name="_Toc152042585"/>
      <w:bookmarkStart w:id="305" w:name="_Toc300835221"/>
      <w:bookmarkStart w:id="306" w:name="_Toc152045796"/>
    </w:p>
    <w:tbl>
      <w:tblPr>
        <w:tblStyle w:val="17"/>
        <w:tblW w:w="10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483"/>
        <w:gridCol w:w="1050"/>
        <w:gridCol w:w="1128"/>
        <w:gridCol w:w="1291"/>
        <w:gridCol w:w="1833"/>
        <w:gridCol w:w="1833"/>
      </w:tblGrid>
      <w:tr w14:paraId="78A28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794" w:type="dxa"/>
            <w:tcBorders>
              <w:top w:val="single" w:color="auto" w:sz="4" w:space="0"/>
              <w:left w:val="single" w:color="auto" w:sz="4" w:space="0"/>
              <w:right w:val="single" w:color="auto" w:sz="4" w:space="0"/>
            </w:tcBorders>
            <w:vAlign w:val="center"/>
          </w:tcPr>
          <w:p w14:paraId="3F1AEA8F">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2483" w:type="dxa"/>
            <w:tcBorders>
              <w:top w:val="single" w:color="auto" w:sz="4" w:space="0"/>
              <w:left w:val="single" w:color="auto" w:sz="4" w:space="0"/>
              <w:right w:val="single" w:color="auto" w:sz="4" w:space="0"/>
            </w:tcBorders>
            <w:vAlign w:val="center"/>
          </w:tcPr>
          <w:p w14:paraId="04780F3E">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材料名称</w:t>
            </w:r>
          </w:p>
        </w:tc>
        <w:tc>
          <w:tcPr>
            <w:tcW w:w="1050" w:type="dxa"/>
            <w:tcBorders>
              <w:top w:val="single" w:color="auto" w:sz="4" w:space="0"/>
              <w:left w:val="single" w:color="auto" w:sz="4" w:space="0"/>
              <w:right w:val="single" w:color="auto" w:sz="4" w:space="0"/>
            </w:tcBorders>
            <w:vAlign w:val="center"/>
          </w:tcPr>
          <w:p w14:paraId="12AB168A">
            <w:pPr>
              <w:tabs>
                <w:tab w:val="center" w:pos="4153"/>
                <w:tab w:val="right" w:pos="8306"/>
              </w:tabs>
              <w:snapToGrid w:val="0"/>
              <w:jc w:val="center"/>
              <w:rPr>
                <w:rFonts w:hint="eastAsia" w:eastAsiaTheme="minorEastAsia"/>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规格</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mm</w:t>
            </w:r>
            <w:r>
              <w:rPr>
                <w:rFonts w:hint="eastAsia"/>
                <w:color w:val="000000" w:themeColor="text1"/>
                <w:szCs w:val="21"/>
                <w:lang w:eastAsia="zh-CN"/>
                <w14:textFill>
                  <w14:solidFill>
                    <w14:schemeClr w14:val="tx1"/>
                  </w14:solidFill>
                </w14:textFill>
              </w:rPr>
              <w:t>）</w:t>
            </w:r>
          </w:p>
        </w:tc>
        <w:tc>
          <w:tcPr>
            <w:tcW w:w="1128" w:type="dxa"/>
            <w:tcBorders>
              <w:top w:val="single" w:color="auto" w:sz="4" w:space="0"/>
              <w:left w:val="single" w:color="auto" w:sz="4" w:space="0"/>
              <w:right w:val="single" w:color="auto" w:sz="4" w:space="0"/>
            </w:tcBorders>
            <w:vAlign w:val="center"/>
          </w:tcPr>
          <w:p w14:paraId="6258C8BC">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预估用量</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m</w:t>
            </w:r>
            <w:r>
              <w:rPr>
                <w:rFonts w:hint="eastAsia"/>
                <w:color w:val="000000" w:themeColor="text1"/>
                <w:szCs w:val="21"/>
                <w:vertAlign w:val="superscript"/>
                <w:lang w:val="en-US" w:eastAsia="zh-CN"/>
                <w14:textFill>
                  <w14:solidFill>
                    <w14:schemeClr w14:val="tx1"/>
                  </w14:solidFill>
                </w14:textFill>
              </w:rPr>
              <w:t>3</w:t>
            </w:r>
            <w:r>
              <w:rPr>
                <w:rFonts w:hint="eastAsia"/>
                <w:color w:val="000000" w:themeColor="text1"/>
                <w:szCs w:val="21"/>
                <w:lang w:eastAsia="zh-CN"/>
                <w14:textFill>
                  <w14:solidFill>
                    <w14:schemeClr w14:val="tx1"/>
                  </w14:solidFill>
                </w14:textFill>
              </w:rPr>
              <w:t>）</w:t>
            </w:r>
          </w:p>
        </w:tc>
        <w:tc>
          <w:tcPr>
            <w:tcW w:w="1291" w:type="dxa"/>
            <w:tcBorders>
              <w:top w:val="single" w:color="auto" w:sz="4" w:space="0"/>
              <w:left w:val="single" w:color="auto" w:sz="4" w:space="0"/>
              <w:right w:val="single" w:color="auto" w:sz="4" w:space="0"/>
            </w:tcBorders>
          </w:tcPr>
          <w:p w14:paraId="443F5D80">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单项</w:t>
            </w:r>
            <w:r>
              <w:rPr>
                <w:rFonts w:hint="eastAsia"/>
                <w:color w:val="000000" w:themeColor="text1"/>
                <w:szCs w:val="21"/>
                <w14:textFill>
                  <w14:solidFill>
                    <w14:schemeClr w14:val="tx1"/>
                  </w14:solidFill>
                </w14:textFill>
              </w:rPr>
              <w:t>限价</w:t>
            </w:r>
          </w:p>
          <w:p w14:paraId="4E2CEAED">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元/m</w:t>
            </w:r>
            <w:r>
              <w:rPr>
                <w:rFonts w:hint="eastAsia"/>
                <w:color w:val="000000" w:themeColor="text1"/>
                <w:szCs w:val="21"/>
                <w:vertAlign w:val="superscript"/>
                <w:lang w:val="en-US" w:eastAsia="zh-CN"/>
                <w14:textFill>
                  <w14:solidFill>
                    <w14:schemeClr w14:val="tx1"/>
                  </w14:solidFill>
                </w14:textFill>
              </w:rPr>
              <w:t>3</w:t>
            </w:r>
            <w:r>
              <w:rPr>
                <w:rFonts w:hint="eastAsia"/>
                <w:color w:val="000000" w:themeColor="text1"/>
                <w:szCs w:val="21"/>
                <w14:textFill>
                  <w14:solidFill>
                    <w14:schemeClr w14:val="tx1"/>
                  </w14:solidFill>
                </w14:textFill>
              </w:rPr>
              <w:t>）</w:t>
            </w:r>
          </w:p>
        </w:tc>
        <w:tc>
          <w:tcPr>
            <w:tcW w:w="1833" w:type="dxa"/>
            <w:tcBorders>
              <w:top w:val="single" w:color="auto" w:sz="4" w:space="0"/>
              <w:left w:val="single" w:color="auto" w:sz="4" w:space="0"/>
              <w:right w:val="single" w:color="auto" w:sz="4" w:space="0"/>
            </w:tcBorders>
            <w:vAlign w:val="center"/>
          </w:tcPr>
          <w:p w14:paraId="0FD55509">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单项</w:t>
            </w:r>
            <w:r>
              <w:rPr>
                <w:rFonts w:hint="eastAsia"/>
                <w:color w:val="000000" w:themeColor="text1"/>
                <w:szCs w:val="21"/>
                <w14:textFill>
                  <w14:solidFill>
                    <w14:schemeClr w14:val="tx1"/>
                  </w14:solidFill>
                </w14:textFill>
              </w:rPr>
              <w:t>报价</w:t>
            </w:r>
          </w:p>
          <w:p w14:paraId="0DA9D013">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元/m</w:t>
            </w:r>
            <w:r>
              <w:rPr>
                <w:rFonts w:hint="eastAsia"/>
                <w:color w:val="000000" w:themeColor="text1"/>
                <w:szCs w:val="21"/>
                <w:vertAlign w:val="superscript"/>
                <w:lang w:val="en-US" w:eastAsia="zh-CN"/>
                <w14:textFill>
                  <w14:solidFill>
                    <w14:schemeClr w14:val="tx1"/>
                  </w14:solidFill>
                </w14:textFill>
              </w:rPr>
              <w:t>3</w:t>
            </w:r>
            <w:r>
              <w:rPr>
                <w:rFonts w:hint="eastAsia"/>
                <w:color w:val="000000" w:themeColor="text1"/>
                <w:szCs w:val="21"/>
                <w14:textFill>
                  <w14:solidFill>
                    <w14:schemeClr w14:val="tx1"/>
                  </w14:solidFill>
                </w14:textFill>
              </w:rPr>
              <w:t>）</w:t>
            </w:r>
          </w:p>
        </w:tc>
        <w:tc>
          <w:tcPr>
            <w:tcW w:w="1833" w:type="dxa"/>
            <w:tcBorders>
              <w:top w:val="single" w:color="auto" w:sz="4" w:space="0"/>
              <w:left w:val="single" w:color="auto" w:sz="4" w:space="0"/>
              <w:right w:val="single" w:color="auto" w:sz="4" w:space="0"/>
            </w:tcBorders>
            <w:vAlign w:val="center"/>
          </w:tcPr>
          <w:p w14:paraId="556BB1AB">
            <w:pPr>
              <w:tabs>
                <w:tab w:val="center" w:pos="4153"/>
                <w:tab w:val="right" w:pos="8306"/>
              </w:tabs>
              <w:snapToGrid w:val="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合价</w:t>
            </w:r>
          </w:p>
          <w:p w14:paraId="4B2323FC">
            <w:pPr>
              <w:tabs>
                <w:tab w:val="center" w:pos="4153"/>
                <w:tab w:val="right" w:pos="8306"/>
              </w:tabs>
              <w:snapToGrid w:val="0"/>
              <w:jc w:val="center"/>
              <w:rPr>
                <w:rFonts w:hint="default" w:eastAsiaTheme="minor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(不含税，元)</w:t>
            </w:r>
          </w:p>
        </w:tc>
      </w:tr>
      <w:tr w14:paraId="08A7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794" w:type="dxa"/>
            <w:tcBorders>
              <w:top w:val="single" w:color="auto" w:sz="4" w:space="0"/>
              <w:left w:val="single" w:color="auto" w:sz="4" w:space="0"/>
              <w:right w:val="single" w:color="auto" w:sz="4" w:space="0"/>
            </w:tcBorders>
            <w:vAlign w:val="center"/>
          </w:tcPr>
          <w:p w14:paraId="0961E530">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2483" w:type="dxa"/>
            <w:tcBorders>
              <w:top w:val="single" w:color="auto" w:sz="4" w:space="0"/>
              <w:left w:val="single" w:color="auto" w:sz="4" w:space="0"/>
              <w:right w:val="single" w:color="auto" w:sz="4" w:space="0"/>
            </w:tcBorders>
            <w:vAlign w:val="center"/>
          </w:tcPr>
          <w:p w14:paraId="25A9BCAE">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MU10.0煤矸石实心砖</w:t>
            </w:r>
          </w:p>
        </w:tc>
        <w:tc>
          <w:tcPr>
            <w:tcW w:w="1050" w:type="dxa"/>
            <w:tcBorders>
              <w:top w:val="single" w:color="auto" w:sz="4" w:space="0"/>
              <w:left w:val="single" w:color="auto" w:sz="4" w:space="0"/>
              <w:right w:val="single" w:color="auto" w:sz="4" w:space="0"/>
            </w:tcBorders>
            <w:vAlign w:val="center"/>
          </w:tcPr>
          <w:p w14:paraId="70BF4627">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200*95*53</w:t>
            </w:r>
          </w:p>
        </w:tc>
        <w:tc>
          <w:tcPr>
            <w:tcW w:w="1128" w:type="dxa"/>
            <w:tcBorders>
              <w:top w:val="single" w:color="auto" w:sz="4" w:space="0"/>
              <w:left w:val="single" w:color="auto" w:sz="4" w:space="0"/>
              <w:right w:val="single" w:color="auto" w:sz="4" w:space="0"/>
            </w:tcBorders>
            <w:vAlign w:val="center"/>
          </w:tcPr>
          <w:p w14:paraId="6E2182EE">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2250</w:t>
            </w:r>
          </w:p>
        </w:tc>
        <w:tc>
          <w:tcPr>
            <w:tcW w:w="1291" w:type="dxa"/>
            <w:tcBorders>
              <w:top w:val="single" w:color="auto" w:sz="4" w:space="0"/>
              <w:left w:val="single" w:color="auto" w:sz="4" w:space="0"/>
              <w:right w:val="single" w:color="auto" w:sz="4" w:space="0"/>
            </w:tcBorders>
            <w:vAlign w:val="center"/>
          </w:tcPr>
          <w:p w14:paraId="3B0C7949">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325.15</w:t>
            </w:r>
          </w:p>
        </w:tc>
        <w:tc>
          <w:tcPr>
            <w:tcW w:w="1833" w:type="dxa"/>
            <w:tcBorders>
              <w:top w:val="single" w:color="auto" w:sz="4" w:space="0"/>
              <w:left w:val="single" w:color="auto" w:sz="4" w:space="0"/>
              <w:right w:val="single" w:color="auto" w:sz="4" w:space="0"/>
            </w:tcBorders>
            <w:vAlign w:val="center"/>
          </w:tcPr>
          <w:p w14:paraId="41494E20">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w:t>
            </w:r>
          </w:p>
        </w:tc>
        <w:tc>
          <w:tcPr>
            <w:tcW w:w="1833" w:type="dxa"/>
            <w:tcBorders>
              <w:top w:val="single" w:color="auto" w:sz="4" w:space="0"/>
              <w:left w:val="single" w:color="auto" w:sz="4" w:space="0"/>
              <w:right w:val="single" w:color="auto" w:sz="4" w:space="0"/>
            </w:tcBorders>
            <w:vAlign w:val="center"/>
          </w:tcPr>
          <w:p w14:paraId="7AAC9965">
            <w:pPr>
              <w:tabs>
                <w:tab w:val="center" w:pos="4153"/>
                <w:tab w:val="right" w:pos="8306"/>
              </w:tabs>
              <w:snapToGrid w:val="0"/>
              <w:jc w:val="center"/>
              <w:rPr>
                <w:rFonts w:hint="eastAsia"/>
                <w:color w:val="000000" w:themeColor="text1"/>
                <w:szCs w:val="21"/>
                <w14:textFill>
                  <w14:solidFill>
                    <w14:schemeClr w14:val="tx1"/>
                  </w14:solidFill>
                </w14:textFill>
              </w:rPr>
            </w:pPr>
          </w:p>
        </w:tc>
      </w:tr>
      <w:tr w14:paraId="2BA01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14:paraId="3C53871E">
            <w:pPr>
              <w:tabs>
                <w:tab w:val="center" w:pos="4153"/>
                <w:tab w:val="right" w:pos="8306"/>
              </w:tabs>
              <w:snapToGrid w:val="0"/>
              <w:jc w:val="center"/>
              <w:rPr>
                <w:rFonts w:hint="eastAsia" w:eastAsiaTheme="minorEastAsia"/>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2483" w:type="dxa"/>
            <w:tcBorders>
              <w:top w:val="single" w:color="auto" w:sz="4" w:space="0"/>
              <w:left w:val="single" w:color="auto" w:sz="4" w:space="0"/>
              <w:bottom w:val="single" w:color="auto" w:sz="4" w:space="0"/>
              <w:right w:val="single" w:color="auto" w:sz="4" w:space="0"/>
            </w:tcBorders>
            <w:shd w:val="clear" w:color="auto" w:fill="auto"/>
            <w:vAlign w:val="center"/>
          </w:tcPr>
          <w:p w14:paraId="6B9AF753">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MU20.0煤矸石实心砖</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4D3BC01F">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200*95*53</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3F11908E">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1100</w:t>
            </w:r>
          </w:p>
        </w:tc>
        <w:tc>
          <w:tcPr>
            <w:tcW w:w="1291" w:type="dxa"/>
            <w:tcBorders>
              <w:top w:val="single" w:color="auto" w:sz="4" w:space="0"/>
              <w:left w:val="single" w:color="auto" w:sz="4" w:space="0"/>
              <w:bottom w:val="single" w:color="auto" w:sz="4" w:space="0"/>
              <w:right w:val="single" w:color="auto" w:sz="4" w:space="0"/>
            </w:tcBorders>
            <w:vAlign w:val="center"/>
          </w:tcPr>
          <w:p w14:paraId="1C7682FB">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325.15</w:t>
            </w:r>
          </w:p>
        </w:tc>
        <w:tc>
          <w:tcPr>
            <w:tcW w:w="1833" w:type="dxa"/>
            <w:tcBorders>
              <w:top w:val="single" w:color="auto" w:sz="4" w:space="0"/>
              <w:left w:val="single" w:color="auto" w:sz="4" w:space="0"/>
              <w:bottom w:val="single" w:color="auto" w:sz="4" w:space="0"/>
              <w:right w:val="single" w:color="auto" w:sz="4" w:space="0"/>
            </w:tcBorders>
            <w:vAlign w:val="center"/>
          </w:tcPr>
          <w:p w14:paraId="1FC03005">
            <w:pPr>
              <w:tabs>
                <w:tab w:val="center" w:pos="4153"/>
                <w:tab w:val="right" w:pos="8306"/>
              </w:tabs>
              <w:snapToGrid w:val="0"/>
              <w:jc w:val="center"/>
              <w:rPr>
                <w:color w:val="000000" w:themeColor="text1"/>
                <w:szCs w:val="21"/>
                <w14:textFill>
                  <w14:solidFill>
                    <w14:schemeClr w14:val="tx1"/>
                  </w14:solidFill>
                </w14:textFill>
              </w:rPr>
            </w:pPr>
          </w:p>
        </w:tc>
        <w:tc>
          <w:tcPr>
            <w:tcW w:w="1833" w:type="dxa"/>
            <w:tcBorders>
              <w:top w:val="single" w:color="auto" w:sz="4" w:space="0"/>
              <w:left w:val="single" w:color="auto" w:sz="4" w:space="0"/>
              <w:bottom w:val="single" w:color="auto" w:sz="4" w:space="0"/>
              <w:right w:val="single" w:color="auto" w:sz="4" w:space="0"/>
            </w:tcBorders>
            <w:vAlign w:val="center"/>
          </w:tcPr>
          <w:p w14:paraId="6FAE6F7A">
            <w:pPr>
              <w:tabs>
                <w:tab w:val="center" w:pos="4153"/>
                <w:tab w:val="right" w:pos="8306"/>
              </w:tabs>
              <w:snapToGrid w:val="0"/>
              <w:jc w:val="center"/>
              <w:rPr>
                <w:color w:val="000000" w:themeColor="text1"/>
                <w:szCs w:val="21"/>
                <w14:textFill>
                  <w14:solidFill>
                    <w14:schemeClr w14:val="tx1"/>
                  </w14:solidFill>
                </w14:textFill>
              </w:rPr>
            </w:pPr>
          </w:p>
        </w:tc>
      </w:tr>
      <w:tr w14:paraId="46C07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579" w:type="dxa"/>
            <w:gridSpan w:val="6"/>
            <w:tcBorders>
              <w:top w:val="single" w:color="auto" w:sz="4" w:space="0"/>
              <w:left w:val="single" w:color="auto" w:sz="4" w:space="0"/>
              <w:bottom w:val="single" w:color="auto" w:sz="4" w:space="0"/>
              <w:right w:val="single" w:color="auto" w:sz="4" w:space="0"/>
            </w:tcBorders>
            <w:vAlign w:val="center"/>
          </w:tcPr>
          <w:p w14:paraId="6981A57D">
            <w:pPr>
              <w:tabs>
                <w:tab w:val="center" w:pos="4153"/>
                <w:tab w:val="right" w:pos="8306"/>
              </w:tabs>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总金额（元）</w:t>
            </w:r>
          </w:p>
        </w:tc>
        <w:tc>
          <w:tcPr>
            <w:tcW w:w="1833" w:type="dxa"/>
            <w:tcBorders>
              <w:top w:val="single" w:color="auto" w:sz="4" w:space="0"/>
              <w:left w:val="single" w:color="auto" w:sz="4" w:space="0"/>
              <w:bottom w:val="single" w:color="auto" w:sz="4" w:space="0"/>
              <w:right w:val="single" w:color="auto" w:sz="4" w:space="0"/>
            </w:tcBorders>
            <w:vAlign w:val="center"/>
          </w:tcPr>
          <w:p w14:paraId="09573430">
            <w:pPr>
              <w:tabs>
                <w:tab w:val="center" w:pos="4153"/>
                <w:tab w:val="right" w:pos="8306"/>
              </w:tabs>
              <w:snapToGrid w:val="0"/>
              <w:jc w:val="center"/>
              <w:rPr>
                <w:color w:val="000000" w:themeColor="text1"/>
                <w:szCs w:val="21"/>
                <w14:textFill>
                  <w14:solidFill>
                    <w14:schemeClr w14:val="tx1"/>
                  </w14:solidFill>
                </w14:textFill>
              </w:rPr>
            </w:pPr>
          </w:p>
        </w:tc>
      </w:tr>
    </w:tbl>
    <w:p w14:paraId="35F34BCF">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5"/>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1"/>
      <w:bookmarkEnd w:id="302"/>
      <w:bookmarkEnd w:id="303"/>
      <w:bookmarkEnd w:id="304"/>
      <w:bookmarkEnd w:id="305"/>
      <w:bookmarkEnd w:id="306"/>
      <w:bookmarkStart w:id="307" w:name="_Toc300835223"/>
      <w:r>
        <w:t>资格审查资料</w:t>
      </w:r>
    </w:p>
    <w:p w14:paraId="3DAB7550">
      <w:pPr>
        <w:pStyle w:val="6"/>
        <w:jc w:val="both"/>
        <w:rPr>
          <w:rFonts w:hint="eastAsia"/>
        </w:rPr>
      </w:pPr>
      <w:bookmarkStart w:id="308" w:name="_Toc246996373"/>
      <w:bookmarkStart w:id="309" w:name="_Toc296602618"/>
      <w:bookmarkStart w:id="310" w:name="_Toc179632828"/>
      <w:bookmarkStart w:id="311" w:name="_Toc247085891"/>
      <w:bookmarkStart w:id="312" w:name="_Toc246997116"/>
      <w:r>
        <w:t>（一）</w:t>
      </w:r>
      <w:r>
        <w:rPr>
          <w:rFonts w:hint="eastAsia"/>
          <w:lang w:eastAsia="zh-CN"/>
        </w:rPr>
        <w:t>供应商</w:t>
      </w:r>
      <w:r>
        <w:t>基本情况表</w:t>
      </w:r>
      <w:bookmarkEnd w:id="308"/>
      <w:bookmarkEnd w:id="309"/>
      <w:bookmarkEnd w:id="310"/>
      <w:bookmarkEnd w:id="311"/>
      <w:bookmarkEnd w:id="31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313" w:name="_Toc247085888"/>
      <w:bookmarkStart w:id="314" w:name="_Toc246996370"/>
      <w:bookmarkStart w:id="315" w:name="_Toc246997113"/>
      <w:bookmarkStart w:id="316" w:name="_Toc296602615"/>
      <w:bookmarkStart w:id="317" w:name="_Toc152045810"/>
      <w:bookmarkStart w:id="318" w:name="_Toc144974878"/>
      <w:bookmarkStart w:id="319" w:name="_Toc247527850"/>
      <w:bookmarkStart w:id="320" w:name="_Toc300835226"/>
      <w:bookmarkStart w:id="321" w:name="_Toc152042599"/>
      <w:bookmarkStart w:id="322" w:name="_Toc247514302"/>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23" w:name="_Toc246996371"/>
      <w:bookmarkStart w:id="324" w:name="_Toc246997114"/>
      <w:bookmarkStart w:id="325" w:name="_Toc296602616"/>
      <w:bookmarkStart w:id="326" w:name="_Toc247085889"/>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152042600"/>
      <w:bookmarkStart w:id="328" w:name="_Toc247514303"/>
      <w:bookmarkStart w:id="329" w:name="_Toc152045811"/>
      <w:bookmarkStart w:id="330" w:name="_Toc144974879"/>
      <w:bookmarkStart w:id="331" w:name="_Toc247527851"/>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433781BC">
      <w:pPr>
        <w:pStyle w:val="6"/>
        <w:jc w:val="center"/>
        <w:rPr>
          <w:rFonts w:hint="default" w:ascii="Times New Roman" w:hAnsi="Times New Roman" w:cs="Times New Roman"/>
          <w:lang w:val="en-US" w:eastAsia="zh-CN"/>
        </w:rPr>
      </w:pPr>
      <w:bookmarkStart w:id="332" w:name="_Toc247085890"/>
      <w:bookmarkStart w:id="333" w:name="_Toc144974876"/>
      <w:bookmarkStart w:id="334" w:name="_Toc152042597"/>
      <w:bookmarkStart w:id="335" w:name="_Toc246997115"/>
      <w:bookmarkStart w:id="336" w:name="_Toc152045807"/>
      <w:bookmarkStart w:id="337" w:name="_Toc179632827"/>
      <w:bookmarkStart w:id="338" w:name="_Toc300835224"/>
      <w:bookmarkStart w:id="339" w:name="_Toc152042596"/>
      <w:bookmarkStart w:id="340" w:name="_Toc246996372"/>
      <w:bookmarkStart w:id="341" w:name="_Toc152045808"/>
      <w:bookmarkStart w:id="342" w:name="_Toc247514300"/>
      <w:bookmarkStart w:id="343" w:name="_Toc144974875"/>
      <w:bookmarkStart w:id="344" w:name="_Toc296602617"/>
      <w:bookmarkStart w:id="345" w:name="_Toc247527848"/>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 xml:space="preserve">响应方案 </w:t>
      </w:r>
    </w:p>
    <w:p w14:paraId="75526744">
      <w:pPr>
        <w:tabs>
          <w:tab w:val="left" w:pos="720"/>
        </w:tabs>
        <w:spacing w:line="440" w:lineRule="exact"/>
        <w:ind w:firstLine="420" w:firstLineChars="200"/>
        <w:jc w:val="left"/>
        <w:rPr>
          <w:rFonts w:hint="default" w:ascii="Times New Roman" w:hAnsi="Times New Roman"/>
          <w:lang w:val="en-US" w:eastAsia="zh-CN"/>
        </w:rPr>
      </w:pPr>
      <w:bookmarkStart w:id="346" w:name="_Toc247530162"/>
      <w:bookmarkStart w:id="347" w:name="_Toc247527853"/>
      <w:bookmarkStart w:id="348" w:name="_Toc144974881"/>
      <w:bookmarkStart w:id="349" w:name="_Toc247514305"/>
      <w:bookmarkStart w:id="350" w:name="_Toc152045813"/>
      <w:bookmarkStart w:id="351" w:name="_Toc152042602"/>
      <w:r>
        <w:rPr>
          <w:rFonts w:hint="eastAsia" w:ascii="Times New Roman" w:hAnsi="Times New Roman"/>
          <w:lang w:val="en-US" w:eastAsia="zh-CN"/>
        </w:rPr>
        <w:t>注：供应商可根据行业具体情况自行拟定响应方案（供货方案）。</w:t>
      </w:r>
    </w:p>
    <w:bookmarkEnd w:id="346"/>
    <w:bookmarkEnd w:id="347"/>
    <w:bookmarkEnd w:id="348"/>
    <w:bookmarkEnd w:id="349"/>
    <w:bookmarkEnd w:id="350"/>
    <w:bookmarkEnd w:id="351"/>
    <w:p w14:paraId="0809FA59">
      <w:pPr>
        <w:rPr>
          <w:rFonts w:hint="eastAsia" w:ascii="Times New Roman" w:hAnsi="Times New Roman" w:cs="Times New Roman"/>
          <w:lang w:val="en-US" w:eastAsia="zh-CN"/>
        </w:rPr>
      </w:pPr>
      <w:bookmarkStart w:id="352" w:name="_Toc300835233"/>
      <w:bookmarkStart w:id="353" w:name="_Toc271821942"/>
      <w:r>
        <w:rPr>
          <w:rFonts w:hint="eastAsia" w:ascii="Times New Roman" w:hAnsi="Times New Roman" w:cs="Times New Roman"/>
          <w:lang w:val="en-US" w:eastAsia="zh-CN"/>
        </w:rPr>
        <w:br w:type="page"/>
      </w:r>
      <w:bookmarkStart w:id="354" w:name="_GoBack"/>
      <w:bookmarkEnd w:id="354"/>
    </w:p>
    <w:p w14:paraId="1E5B7EEB">
      <w:pPr>
        <w:pStyle w:val="5"/>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A8792CF-E580-4AF8-BD52-F6F27506D1A7}"/>
  </w:font>
  <w:font w:name="Arial">
    <w:panose1 w:val="020B0604020202020204"/>
    <w:charset w:val="01"/>
    <w:family w:val="swiss"/>
    <w:pitch w:val="default"/>
    <w:sig w:usb0="E0002EFF" w:usb1="C000785B" w:usb2="00000009" w:usb3="00000000" w:csb0="400001FF" w:csb1="FFFF0000"/>
    <w:embedRegular r:id="rId2" w:fontKey="{6A53FAAB-EDA0-4B4F-AEB8-B1A6347DC1F5}"/>
  </w:font>
  <w:font w:name="黑体">
    <w:panose1 w:val="02010609060101010101"/>
    <w:charset w:val="86"/>
    <w:family w:val="auto"/>
    <w:pitch w:val="default"/>
    <w:sig w:usb0="800002BF" w:usb1="38CF7CFA" w:usb2="00000016" w:usb3="00000000" w:csb0="00040001" w:csb1="00000000"/>
    <w:embedRegular r:id="rId3" w:fontKey="{62E395D6-8C31-4ACD-B547-998FB1C988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CD6F49EB-9D6F-41E3-B622-A128B4F3A749}"/>
  </w:font>
  <w:font w:name="仿宋_GB2312">
    <w:panose1 w:val="02010609030101010101"/>
    <w:charset w:val="86"/>
    <w:family w:val="modern"/>
    <w:pitch w:val="default"/>
    <w:sig w:usb0="00000001" w:usb1="080E0000" w:usb2="00000000" w:usb3="00000000" w:csb0="00040000" w:csb1="00000000"/>
    <w:embedRegular r:id="rId5" w:fontKey="{343EDF3D-EF3B-4701-A846-484158F32F1C}"/>
  </w:font>
  <w:font w:name="楷体">
    <w:panose1 w:val="02010609060101010101"/>
    <w:charset w:val="86"/>
    <w:family w:val="auto"/>
    <w:pitch w:val="default"/>
    <w:sig w:usb0="800002BF" w:usb1="38CF7CFA" w:usb2="00000016" w:usb3="00000000" w:csb0="00040001" w:csb1="00000000"/>
    <w:embedRegular r:id="rId6" w:fontKey="{29FE9D00-DD0E-4340-A48D-A20A42D1182A}"/>
  </w:font>
  <w:font w:name="Wingdings 2">
    <w:panose1 w:val="05020102010507070707"/>
    <w:charset w:val="00"/>
    <w:family w:val="auto"/>
    <w:pitch w:val="default"/>
    <w:sig w:usb0="00000000" w:usb1="00000000" w:usb2="00000000" w:usb3="00000000" w:csb0="80000000" w:csb1="00000000"/>
    <w:embedRegular r:id="rId7" w:fontKey="{39239672-65E2-46EF-A416-A44D0D05FBC7}"/>
  </w:font>
  <w:font w:name="方正仿宋_GB2312">
    <w:panose1 w:val="02000000000000000000"/>
    <w:charset w:val="86"/>
    <w:family w:val="auto"/>
    <w:pitch w:val="default"/>
    <w:sig w:usb0="A00002BF" w:usb1="184F6CFA" w:usb2="00000012" w:usb3="00000000" w:csb0="00040001" w:csb1="00000000"/>
    <w:embedRegular r:id="rId8" w:fontKey="{6A1CDDCC-0924-4C92-93F8-A71C42FED9AC}"/>
  </w:font>
  <w:font w:name="方正小标宋简体">
    <w:panose1 w:val="02000000000000000000"/>
    <w:charset w:val="86"/>
    <w:family w:val="auto"/>
    <w:pitch w:val="default"/>
    <w:sig w:usb0="00000001" w:usb1="08000000" w:usb2="00000000" w:usb3="00000000" w:csb0="00040000" w:csb1="00000000"/>
    <w:embedRegular r:id="rId9" w:fontKey="{64FBB4FC-4918-4D50-9A67-8C0C03EF3A51}"/>
  </w:font>
  <w:font w:name="仿宋">
    <w:panose1 w:val="02010609060101010101"/>
    <w:charset w:val="86"/>
    <w:family w:val="modern"/>
    <w:pitch w:val="default"/>
    <w:sig w:usb0="800002BF" w:usb1="38CF7CFA" w:usb2="00000016" w:usb3="00000000" w:csb0="00040001" w:csb1="00000000"/>
    <w:embedRegular r:id="rId10" w:fontKey="{04ECB780-E346-4415-9A6F-6281218403F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7B0235"/>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A8508C"/>
    <w:rsid w:val="01B6046E"/>
    <w:rsid w:val="01B666C0"/>
    <w:rsid w:val="01CB0CDF"/>
    <w:rsid w:val="01CD2334"/>
    <w:rsid w:val="01E140D3"/>
    <w:rsid w:val="01EC5C3E"/>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DB240E"/>
    <w:rsid w:val="03E5328D"/>
    <w:rsid w:val="03EB2744"/>
    <w:rsid w:val="03F10FDA"/>
    <w:rsid w:val="03F253EE"/>
    <w:rsid w:val="03F35283"/>
    <w:rsid w:val="03FB71CD"/>
    <w:rsid w:val="03FD2384"/>
    <w:rsid w:val="0402322C"/>
    <w:rsid w:val="04041965"/>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8B22D0"/>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B45BC"/>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16D71"/>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252478"/>
    <w:rsid w:val="0C490EDD"/>
    <w:rsid w:val="0C581CC5"/>
    <w:rsid w:val="0C6610EE"/>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B73AE"/>
    <w:rsid w:val="0EDF39F1"/>
    <w:rsid w:val="0EDF4D5E"/>
    <w:rsid w:val="0EE1117F"/>
    <w:rsid w:val="0EF860F0"/>
    <w:rsid w:val="0F024085"/>
    <w:rsid w:val="0F1438EF"/>
    <w:rsid w:val="0F263D0E"/>
    <w:rsid w:val="0F463825"/>
    <w:rsid w:val="0F4B0F6A"/>
    <w:rsid w:val="0F5660FF"/>
    <w:rsid w:val="0F575798"/>
    <w:rsid w:val="0F5F5CB1"/>
    <w:rsid w:val="0F6D192D"/>
    <w:rsid w:val="0F6E4AA0"/>
    <w:rsid w:val="0F711E78"/>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AF6F40"/>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765CAF"/>
    <w:rsid w:val="1387094F"/>
    <w:rsid w:val="138D7D05"/>
    <w:rsid w:val="139C08EB"/>
    <w:rsid w:val="13D35238"/>
    <w:rsid w:val="13D81B1F"/>
    <w:rsid w:val="14061B66"/>
    <w:rsid w:val="14143273"/>
    <w:rsid w:val="14165942"/>
    <w:rsid w:val="14261483"/>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2192A"/>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1E590D"/>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EF4851"/>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6F3A97"/>
    <w:rsid w:val="1D8965DF"/>
    <w:rsid w:val="1D8C5045"/>
    <w:rsid w:val="1D9244F8"/>
    <w:rsid w:val="1D931CEA"/>
    <w:rsid w:val="1D9C4E32"/>
    <w:rsid w:val="1DC177D9"/>
    <w:rsid w:val="1DDB508D"/>
    <w:rsid w:val="1DE81558"/>
    <w:rsid w:val="1E015E7F"/>
    <w:rsid w:val="1E05035C"/>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026DD4"/>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9F4623"/>
    <w:rsid w:val="21A5163A"/>
    <w:rsid w:val="21A61686"/>
    <w:rsid w:val="21B56BEB"/>
    <w:rsid w:val="21BA320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3C67B2A"/>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6139B"/>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577828"/>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14A0E"/>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5408E"/>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A44C2"/>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415B4"/>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E3055C"/>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5D7E9A"/>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D2C48"/>
    <w:rsid w:val="393E0C7A"/>
    <w:rsid w:val="39470BCD"/>
    <w:rsid w:val="39663F4D"/>
    <w:rsid w:val="397B716D"/>
    <w:rsid w:val="39821F75"/>
    <w:rsid w:val="39882115"/>
    <w:rsid w:val="398B5520"/>
    <w:rsid w:val="398C3DB7"/>
    <w:rsid w:val="39916AF0"/>
    <w:rsid w:val="39932868"/>
    <w:rsid w:val="399E647D"/>
    <w:rsid w:val="39AB6275"/>
    <w:rsid w:val="39B32692"/>
    <w:rsid w:val="39C649EB"/>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2616B"/>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642868"/>
    <w:rsid w:val="40776A3F"/>
    <w:rsid w:val="40860A30"/>
    <w:rsid w:val="40880C4C"/>
    <w:rsid w:val="408D0011"/>
    <w:rsid w:val="408D1EA0"/>
    <w:rsid w:val="408E2DBF"/>
    <w:rsid w:val="40955117"/>
    <w:rsid w:val="409D2A1A"/>
    <w:rsid w:val="40A752D1"/>
    <w:rsid w:val="40B21FB5"/>
    <w:rsid w:val="40B95E2E"/>
    <w:rsid w:val="40C17F9E"/>
    <w:rsid w:val="40C3151C"/>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0A1DED"/>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38292E"/>
    <w:rsid w:val="485803F1"/>
    <w:rsid w:val="485E2C28"/>
    <w:rsid w:val="4865215C"/>
    <w:rsid w:val="486942C4"/>
    <w:rsid w:val="487B552A"/>
    <w:rsid w:val="48842F37"/>
    <w:rsid w:val="488B752C"/>
    <w:rsid w:val="48A34F21"/>
    <w:rsid w:val="48B05292"/>
    <w:rsid w:val="48B971DC"/>
    <w:rsid w:val="48F055E1"/>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7D2EA4"/>
    <w:rsid w:val="4A8A37D8"/>
    <w:rsid w:val="4A8B4AB2"/>
    <w:rsid w:val="4A9D70A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13E91"/>
    <w:rsid w:val="4C645A11"/>
    <w:rsid w:val="4C845B43"/>
    <w:rsid w:val="4C87254B"/>
    <w:rsid w:val="4CBD57DA"/>
    <w:rsid w:val="4CD46FC7"/>
    <w:rsid w:val="4CDE4416"/>
    <w:rsid w:val="4D004DF6"/>
    <w:rsid w:val="4D110FBB"/>
    <w:rsid w:val="4D1C2C8C"/>
    <w:rsid w:val="4D1E77BE"/>
    <w:rsid w:val="4D245FC5"/>
    <w:rsid w:val="4D2B3B2C"/>
    <w:rsid w:val="4D40640B"/>
    <w:rsid w:val="4D653A9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4421E2"/>
    <w:rsid w:val="4F5F3ED1"/>
    <w:rsid w:val="4F676F0A"/>
    <w:rsid w:val="4F766114"/>
    <w:rsid w:val="4F804E7C"/>
    <w:rsid w:val="4F833928"/>
    <w:rsid w:val="4F851C22"/>
    <w:rsid w:val="4F85516A"/>
    <w:rsid w:val="4F8B6063"/>
    <w:rsid w:val="4F9071D6"/>
    <w:rsid w:val="4F932AC0"/>
    <w:rsid w:val="4F944D8F"/>
    <w:rsid w:val="4FB21842"/>
    <w:rsid w:val="4FB75BBE"/>
    <w:rsid w:val="4FCA5221"/>
    <w:rsid w:val="4FD5108C"/>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9326F"/>
    <w:rsid w:val="5219226D"/>
    <w:rsid w:val="521A0101"/>
    <w:rsid w:val="52241967"/>
    <w:rsid w:val="52263E21"/>
    <w:rsid w:val="52267BB8"/>
    <w:rsid w:val="522851B7"/>
    <w:rsid w:val="522D1CB6"/>
    <w:rsid w:val="52410C5B"/>
    <w:rsid w:val="52444C58"/>
    <w:rsid w:val="52481FEA"/>
    <w:rsid w:val="524E0600"/>
    <w:rsid w:val="525070F0"/>
    <w:rsid w:val="525941F7"/>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621614"/>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4B60D8"/>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645230"/>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2C6C63"/>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561D75"/>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55C76"/>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74F7F"/>
    <w:rsid w:val="687C4343"/>
    <w:rsid w:val="6888718C"/>
    <w:rsid w:val="688C0656"/>
    <w:rsid w:val="68AE1735"/>
    <w:rsid w:val="68B72950"/>
    <w:rsid w:val="68C857DA"/>
    <w:rsid w:val="68D60630"/>
    <w:rsid w:val="68E00D76"/>
    <w:rsid w:val="68ED6FEF"/>
    <w:rsid w:val="68F00432"/>
    <w:rsid w:val="68F8555D"/>
    <w:rsid w:val="691D712E"/>
    <w:rsid w:val="6931512E"/>
    <w:rsid w:val="693D4E68"/>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1D01BA"/>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B3CBA"/>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D97F30"/>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A17B2"/>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9"/>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9423</Words>
  <Characters>10332</Characters>
  <Lines>0</Lines>
  <Paragraphs>0</Paragraphs>
  <TotalTime>0</TotalTime>
  <ScaleCrop>false</ScaleCrop>
  <LinksUpToDate>false</LinksUpToDate>
  <CharactersWithSpaces>10466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2025-04-03T06:31:00Z</cp:lastPrinted>
  <dcterms:modified xsi:type="dcterms:W3CDTF">2025-04-03T08:54:09Z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3DC1C1C5EC6741F69426F536341F9981</vt:lpwstr>
  </property>
  <property fmtid="{D5CDD505-2E9C-101B-9397-08002B2CF9AE}" pid="4" name="KSOTemplateDocerSaveRecord">
    <vt:lpwstr>eyJoZGlkIjoiODQ5NjkzN2ZlZjQxZjYzMzcyZDI3NmZhNzYzYWFlNDAiLCJ1c2VySWQiOiI0MjMyNDI2MzkifQ==</vt:lpwstr>
  </property>
</Properties>
</file>