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pStyle w:val="2"/>
        <w:rPr>
          <w:rFonts w:hint="default"/>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309省道（原307亳州段）一级公路交安工程专项养护施工项目灌缝劳务工程</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询</w:t>
      </w:r>
    </w:p>
    <w:p>
      <w:pPr>
        <w:pStyle w:val="2"/>
        <w:rPr>
          <w:rFonts w:hint="eastAsia"/>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AHTKJS-2025-45号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2025年7</w:t>
      </w:r>
      <w:r>
        <w:rPr>
          <w:rFonts w:hint="eastAsia" w:ascii="Times New Roman" w:hAnsi="Times New Roman" w:eastAsia="楷体" w:cs="Times New Roman"/>
          <w:kern w:val="0"/>
          <w:sz w:val="32"/>
          <w:szCs w:val="32"/>
          <w:highlight w:val="none"/>
          <w:u w:val="none"/>
          <w:shd w:val="clear" w:color="auto" w:fill="auto"/>
          <w:lang w:val="en-US" w:eastAsia="zh-CN"/>
        </w:rPr>
        <w:t>月7日</w:t>
      </w:r>
      <w:permEnd w:id="1"/>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309省道（原307亳州段）一级公路交安工程专项养护施工项目灌缝劳务工程</w:t>
      </w:r>
      <w:r>
        <w:rPr>
          <w:rFonts w:hint="eastAsia" w:ascii="宋体" w:hAnsi="宋体" w:eastAsia="宋体" w:cs="宋体"/>
          <w:sz w:val="28"/>
          <w:szCs w:val="28"/>
          <w:highlight w:val="none"/>
          <w:lang w:val="en-US" w:eastAsia="zh-CN"/>
        </w:rPr>
        <w:t>已具备采购条件，现对该项目进行公开询比。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lang w:val="en-US" w:eastAsia="zh-CN"/>
        </w:rPr>
        <w:t>309省道（原307亳州段）一级公路交安工程专项养护施工项目灌缝劳务工程</w:t>
      </w:r>
    </w:p>
    <w:permEnd w:id="3"/>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AHTKJS-2025-45号</w:t>
      </w:r>
      <w:r>
        <w:rPr>
          <w:rFonts w:hint="eastAsia" w:asciiTheme="minorEastAsia" w:hAnsiTheme="minorEastAsia" w:eastAsiaTheme="minorEastAsia" w:cstheme="minorEastAsia"/>
          <w:sz w:val="28"/>
          <w:szCs w:val="28"/>
          <w:highlight w:val="none"/>
          <w:lang w:val="en-US" w:eastAsia="zh-CN"/>
        </w:rPr>
        <w:t xml:space="preserve"> </w:t>
      </w:r>
      <w:permEnd w:id="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（不含税）</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52.5万元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8" w:edGrp="everyone"/>
      <w:r>
        <w:rPr>
          <w:rFonts w:hint="eastAsia" w:asciiTheme="minorEastAsia" w:hAnsiTheme="minorEastAsia" w:cstheme="minorEastAsia"/>
          <w:color w:val="FF0000"/>
          <w:sz w:val="28"/>
          <w:szCs w:val="28"/>
          <w:highlight w:val="none"/>
          <w:u w:val="single"/>
          <w:lang w:val="en-US" w:eastAsia="zh-CN"/>
        </w:rPr>
        <w:t>固定单价</w:t>
      </w:r>
      <w:permEnd w:id="8"/>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overflowPunct/>
        <w:topLinePunct w:val="0"/>
        <w:autoSpaceDE/>
        <w:autoSpaceDN/>
        <w:bidi w:val="0"/>
        <w:adjustRightInd/>
        <w:snapToGrid/>
        <w:spacing w:line="480" w:lineRule="exact"/>
        <w:ind w:left="0" w:leftChars="0" w:firstLine="560" w:firstLineChars="200"/>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sz w:val="28"/>
          <w:szCs w:val="28"/>
          <w:highlight w:val="none"/>
          <w:lang w:val="en-US" w:eastAsia="zh-CN"/>
        </w:rPr>
        <w:t>S</w:t>
      </w:r>
      <w:r>
        <w:rPr>
          <w:rFonts w:hint="eastAsia" w:asciiTheme="minorEastAsia" w:hAnsiTheme="minorEastAsia" w:eastAsiaTheme="minorEastAsia" w:cstheme="minorEastAsia"/>
          <w:kern w:val="2"/>
          <w:sz w:val="28"/>
          <w:szCs w:val="28"/>
          <w:highlight w:val="none"/>
          <w:lang w:val="en-US" w:eastAsia="zh-CN"/>
        </w:rPr>
        <w:t>09省道（原307亳州段）一级公路交安工程专项养护施工项目</w:t>
      </w:r>
      <w:r>
        <w:rPr>
          <w:rFonts w:hint="eastAsia" w:asciiTheme="minorEastAsia" w:hAnsiTheme="minorEastAsia" w:cstheme="minorEastAsia"/>
          <w:kern w:val="2"/>
          <w:sz w:val="28"/>
          <w:szCs w:val="28"/>
          <w:highlight w:val="none"/>
          <w:lang w:val="en-US" w:eastAsia="zh-CN"/>
        </w:rPr>
        <w:t>沥青灌缝</w:t>
      </w:r>
      <w:r>
        <w:rPr>
          <w:rFonts w:hint="eastAsia" w:asciiTheme="minorEastAsia" w:hAnsiTheme="minorEastAsia" w:eastAsiaTheme="minorEastAsia" w:cstheme="minorEastAsia"/>
          <w:kern w:val="2"/>
          <w:sz w:val="28"/>
          <w:szCs w:val="28"/>
          <w:highlight w:val="none"/>
          <w:lang w:val="en-US" w:eastAsia="zh-CN"/>
        </w:rPr>
        <w:t>劳务，</w:t>
      </w:r>
      <w:r>
        <w:rPr>
          <w:rFonts w:hint="eastAsia" w:asciiTheme="minorEastAsia" w:hAnsiTheme="minorEastAsia" w:cstheme="minorEastAsia"/>
          <w:kern w:val="2"/>
          <w:sz w:val="28"/>
          <w:szCs w:val="28"/>
          <w:highlight w:val="none"/>
          <w:lang w:val="en-US" w:eastAsia="zh-CN"/>
        </w:rPr>
        <w:t>内容包括但不限于G329蒙城东段约31公里、G344涡阳外环约20公里和G105古井大道约14公里，共计约65公里路面灌缝工作（主要工程量集中于上述三段）。沥青灌缝工程量约200000m，其中扩缝灌缝工程量约50000m，清缝灌缝长度约150000m，具体工程量以实际灌缝为准。根据建设单位要求，在限期内完成沥青灌缝工作。</w:t>
      </w:r>
    </w:p>
    <w:permEnd w:id="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0" w:edGrp="everyone"/>
      <w:r>
        <w:rPr>
          <w:rFonts w:hint="eastAsia" w:asciiTheme="minorEastAsia" w:hAnsiTheme="minorEastAsia" w:cstheme="minorEastAsia"/>
          <w:sz w:val="28"/>
          <w:szCs w:val="28"/>
          <w:highlight w:val="none"/>
          <w:lang w:val="en-US" w:eastAsia="zh-CN"/>
        </w:rPr>
        <w:t>计划工期：</w:t>
      </w:r>
      <w:r>
        <w:rPr>
          <w:rFonts w:hint="eastAsia" w:asciiTheme="minorEastAsia" w:hAnsiTheme="minorEastAsia" w:eastAsiaTheme="minorEastAsia" w:cstheme="minorEastAsia"/>
          <w:kern w:val="2"/>
          <w:sz w:val="28"/>
          <w:szCs w:val="28"/>
          <w:highlight w:val="none"/>
          <w:lang w:val="en-US" w:eastAsia="zh-CN"/>
        </w:rPr>
        <w:t>自合同签订之日起</w:t>
      </w:r>
      <w:r>
        <w:rPr>
          <w:rFonts w:hint="eastAsia" w:asciiTheme="minorEastAsia" w:hAnsiTheme="minorEastAsia" w:cstheme="minorEastAsia"/>
          <w:kern w:val="2"/>
          <w:sz w:val="28"/>
          <w:szCs w:val="28"/>
          <w:highlight w:val="none"/>
          <w:lang w:val="en-US" w:eastAsia="zh-CN"/>
        </w:rPr>
        <w:t>1年</w:t>
      </w:r>
      <w:r>
        <w:rPr>
          <w:rFonts w:hint="eastAsia" w:asciiTheme="minorEastAsia" w:hAnsiTheme="minorEastAsia" w:eastAsiaTheme="minorEastAsia" w:cstheme="minorEastAsia"/>
          <w:kern w:val="2"/>
          <w:sz w:val="28"/>
          <w:szCs w:val="28"/>
          <w:highlight w:val="none"/>
          <w:lang w:val="en-US" w:eastAsia="zh-CN"/>
        </w:rPr>
        <w:t>。</w:t>
      </w:r>
      <w:permEnd w:id="10"/>
    </w:p>
    <w:p>
      <w:pPr>
        <w:keepNext w:val="0"/>
        <w:keepLines w:val="0"/>
        <w:pageBreakBefore w:val="0"/>
        <w:widowControl w:val="0"/>
        <w:kinsoku/>
        <w:overflowPunct/>
        <w:topLinePunct w:val="0"/>
        <w:autoSpaceDE/>
        <w:autoSpaceDN/>
        <w:bidi w:val="0"/>
        <w:adjustRightInd/>
        <w:snapToGrid/>
        <w:spacing w:line="480" w:lineRule="exact"/>
        <w:ind w:left="0" w:leftChars="0" w:firstLine="560" w:firstLineChars="200"/>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309省道（原307亳州段）一级公路，起点位于亳州市蒙城县与蚌埠市怀远县交界处（原307亳州段K123+841），终点位于亳州市谯城区（原307亳州段K253+012），全长153.2公里。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（一）具有独立法人资格，并在人员、设备、施工机具、资金等方面具有承担本工程施工的能力</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w:t>
      </w:r>
      <w:r>
        <w:rPr>
          <w:rFonts w:hint="eastAsia" w:asciiTheme="minorEastAsia" w:hAnsiTheme="minorEastAsia" w:eastAsiaTheme="minorEastAsia" w:cstheme="minorEastAsia"/>
          <w:kern w:val="2"/>
          <w:sz w:val="28"/>
          <w:szCs w:val="28"/>
          <w:highlight w:val="none"/>
          <w:lang w:val="en-US" w:eastAsia="zh-CN"/>
        </w:rPr>
        <w:t>具有劳务施工资质，并具有有效的安全生产许可证;</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kern w:val="2"/>
          <w:sz w:val="28"/>
          <w:szCs w:val="28"/>
          <w:highlight w:val="none"/>
          <w:lang w:val="en-US" w:eastAsia="zh-CN"/>
        </w:rPr>
        <w:t>业绩要求：提供</w:t>
      </w:r>
      <w:permStart w:id="12" w:edGrp="everyone"/>
      <w:r>
        <w:rPr>
          <w:rFonts w:hint="eastAsia" w:asciiTheme="minorEastAsia" w:hAnsiTheme="minorEastAsia" w:eastAsiaTheme="minorEastAsia" w:cstheme="minorEastAsia"/>
          <w:kern w:val="2"/>
          <w:sz w:val="28"/>
          <w:szCs w:val="28"/>
          <w:highlight w:val="none"/>
          <w:u w:val="single"/>
          <w:lang w:val="en-US" w:eastAsia="zh-CN"/>
        </w:rPr>
        <w:t>202</w:t>
      </w:r>
      <w:r>
        <w:rPr>
          <w:rFonts w:hint="eastAsia" w:asciiTheme="minorEastAsia" w:hAnsiTheme="minorEastAsia" w:cstheme="minorEastAsia"/>
          <w:kern w:val="2"/>
          <w:sz w:val="28"/>
          <w:szCs w:val="28"/>
          <w:highlight w:val="none"/>
          <w:u w:val="single"/>
          <w:lang w:val="en-US" w:eastAsia="zh-CN"/>
        </w:rPr>
        <w:t>2</w:t>
      </w:r>
      <w:permEnd w:id="12"/>
      <w:r>
        <w:rPr>
          <w:rFonts w:hint="eastAsia" w:asciiTheme="minorEastAsia" w:hAnsiTheme="minorEastAsia" w:eastAsiaTheme="minorEastAsia" w:cstheme="minorEastAsia"/>
          <w:kern w:val="2"/>
          <w:sz w:val="28"/>
          <w:szCs w:val="28"/>
          <w:highlight w:val="none"/>
          <w:lang w:val="en-US" w:eastAsia="zh-CN"/>
        </w:rPr>
        <w:t>年至今企业类似项目业绩</w:t>
      </w:r>
      <w:permStart w:id="13" w:edGrp="everyone"/>
      <w:r>
        <w:rPr>
          <w:rFonts w:hint="eastAsia" w:asciiTheme="minorEastAsia" w:hAnsiTheme="minorEastAsia" w:eastAsiaTheme="minorEastAsia" w:cstheme="minorEastAsia"/>
          <w:kern w:val="2"/>
          <w:sz w:val="28"/>
          <w:szCs w:val="28"/>
          <w:highlight w:val="none"/>
          <w:u w:val="single"/>
          <w:lang w:val="en-US" w:eastAsia="zh-CN"/>
        </w:rPr>
        <w:t>1</w:t>
      </w:r>
      <w:permEnd w:id="13"/>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4" w:edGrp="everyone"/>
      <w:r>
        <w:rPr>
          <w:rFonts w:hint="eastAsia" w:asciiTheme="minorEastAsia" w:hAnsiTheme="minorEastAsia" w:eastAsiaTheme="minorEastAsia" w:cstheme="minorEastAsia"/>
          <w:kern w:val="2"/>
          <w:sz w:val="28"/>
          <w:szCs w:val="28"/>
          <w:highlight w:val="none"/>
          <w:lang w:val="en-US" w:eastAsia="zh-CN"/>
        </w:rPr>
        <w:t>合同签订时间</w:t>
      </w:r>
      <w:permEnd w:id="14"/>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kern w:val="2"/>
          <w:sz w:val="28"/>
          <w:szCs w:val="28"/>
          <w:highlight w:val="none"/>
          <w:lang w:val="en-US" w:eastAsia="zh-CN"/>
        </w:rPr>
        <w:t>合同金额不低于30万的沥青灌缝业绩</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5"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复印件或扫描件加盖单位公章装订入响应文件中</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permEnd w:id="15"/>
      <w:r>
        <w:rPr>
          <w:rFonts w:hint="eastAsia" w:asciiTheme="minorEastAsia" w:hAnsiTheme="minorEastAsia" w:eastAsiaTheme="minorEastAsia" w:cstheme="minorEastAsia"/>
          <w:sz w:val="28"/>
          <w:szCs w:val="28"/>
          <w:highlight w:val="none"/>
          <w:lang w:val="en-US" w:eastAsia="zh-CN"/>
        </w:rPr>
        <w:t>信用要求：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16"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6"/>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凡有意参加者，请于响应文件递交截止时间前到亳州交通投资控股集团有限公司官网（www.bzjkjt.com）自行下载电子采购文件及其他附件。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17" w:edGrp="everyone"/>
      <w:r>
        <w:rPr>
          <w:rFonts w:hint="eastAsia" w:asciiTheme="minorEastAsia" w:hAnsiTheme="minorEastAsia" w:cstheme="minorEastAsia"/>
          <w:sz w:val="28"/>
          <w:szCs w:val="28"/>
          <w:highlight w:val="none"/>
          <w:lang w:val="en-US" w:eastAsia="zh-CN"/>
        </w:rPr>
        <w:t>2025年</w:t>
      </w:r>
      <w:r>
        <w:rPr>
          <w:rFonts w:hint="eastAsia" w:asciiTheme="minorEastAsia" w:hAnsi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lang w:val="en-US" w:eastAsia="zh-CN"/>
        </w:rPr>
        <w:t>月</w:t>
      </w:r>
      <w:r>
        <w:rPr>
          <w:rFonts w:hint="eastAsia" w:asciiTheme="minorEastAsia" w:hAnsi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lang w:val="en-US" w:eastAsia="zh-CN"/>
        </w:rPr>
        <w:t>日</w:t>
      </w:r>
      <w:r>
        <w:rPr>
          <w:rFonts w:hint="eastAsia" w:asciiTheme="minorEastAsia" w:hAnsi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lang w:val="en-US" w:eastAsia="zh-CN"/>
        </w:rPr>
        <w:t>时</w:t>
      </w:r>
      <w:r>
        <w:rPr>
          <w:rFonts w:hint="eastAsia" w:asciiTheme="minorEastAsia" w:hAnsi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lang w:val="en-US" w:eastAsia="zh-CN"/>
        </w:rPr>
        <w:t>分</w:t>
      </w:r>
      <w:permEnd w:id="17"/>
      <w:r>
        <w:rPr>
          <w:rFonts w:hint="eastAsia" w:asciiTheme="minorEastAsia" w:hAnsiTheme="minorEastAsia" w:cstheme="minorEastAsia"/>
          <w:sz w:val="28"/>
          <w:szCs w:val="28"/>
          <w:highlight w:val="none"/>
          <w:lang w:val="en-US" w:eastAsia="zh-CN"/>
        </w:rPr>
        <w:t>（北京时间）；</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b/>
          <w:bCs/>
          <w:color w:val="FF0000"/>
          <w:sz w:val="28"/>
          <w:szCs w:val="28"/>
          <w:highlight w:val="none"/>
          <w:u w:val="single"/>
          <w:lang w:val="en-US" w:eastAsia="zh-CN"/>
        </w:rPr>
        <w:t>安徽通康建设工程有限公司3楼法务部（谯城区甘菊路与神农大道交叉口西180米易而购超市西侧办公楼3楼）；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8"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邮寄地址：安徽通康建设工程有限公司3楼法务部（谯城区甘菊路与神农大道交叉口西180米易而购超市西侧办公楼3楼）；联系人：李工;联系电话：18305681505</w:t>
      </w:r>
      <w:r>
        <w:rPr>
          <w:rFonts w:hint="eastAsia" w:asciiTheme="minorEastAsia" w:hAnsiTheme="minorEastAsia" w:cstheme="minorEastAsia"/>
          <w:color w:val="FF000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9" w:edGrp="everyone"/>
      <w:r>
        <w:rPr>
          <w:rFonts w:hint="eastAsia" w:asciiTheme="minorEastAsia" w:hAnsiTheme="minorEastAsia" w:cstheme="minorEastAsia"/>
          <w:sz w:val="28"/>
          <w:szCs w:val="28"/>
          <w:highlight w:val="none"/>
          <w:u w:val="single"/>
          <w:lang w:val="en-US" w:eastAsia="zh-CN"/>
        </w:rPr>
        <w:t>10500元</w:t>
      </w:r>
      <w:r>
        <w:rPr>
          <w:rFonts w:hint="default" w:asciiTheme="minorEastAsia" w:hAnsiTheme="minorEastAsia" w:eastAsiaTheme="minorEastAsia" w:cstheme="minorEastAsia"/>
          <w:sz w:val="28"/>
          <w:szCs w:val="28"/>
          <w:highlight w:val="none"/>
          <w:lang w:val="en-US" w:eastAsia="zh-CN"/>
        </w:rPr>
        <w:t>（人民币）</w:t>
      </w:r>
      <w:permEnd w:id="19"/>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0"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0"/>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1" w:edGrp="everyone"/>
      <w:r>
        <w:rPr>
          <w:rFonts w:hint="eastAsia" w:asciiTheme="minorEastAsia" w:hAnsiTheme="minorEastAsia" w:cstheme="minorEastAsia"/>
          <w:sz w:val="28"/>
          <w:szCs w:val="28"/>
          <w:highlight w:val="none"/>
          <w:lang w:val="en-US" w:eastAsia="zh-CN"/>
        </w:rPr>
        <w:t xml:space="preserve">王经理 </w:t>
      </w:r>
      <w:permEnd w:id="2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19155257536</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2"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7</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7</w:t>
      </w:r>
      <w:r>
        <w:rPr>
          <w:rFonts w:hint="eastAsia" w:asciiTheme="minorEastAsia" w:hAnsiTheme="minorEastAsia" w:eastAsiaTheme="minorEastAsia" w:cstheme="minorEastAsia"/>
          <w:color w:val="FF0000"/>
          <w:sz w:val="28"/>
          <w:szCs w:val="28"/>
          <w:highlight w:val="none"/>
          <w:lang w:val="en-US" w:eastAsia="zh-CN"/>
        </w:rPr>
        <w:t>日</w:t>
      </w:r>
    </w:p>
    <w:permEnd w:id="22"/>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3"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3"/>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5"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7</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15</w:t>
            </w:r>
            <w:r>
              <w:rPr>
                <w:rFonts w:hint="eastAsia" w:ascii="Times New Roman" w:hAnsi="Times New Roman" w:cs="Times New Roman"/>
                <w:b/>
                <w:bCs/>
                <w:color w:val="FF0000"/>
                <w:szCs w:val="21"/>
                <w:highlight w:val="none"/>
                <w:u w:val="none"/>
                <w:lang w:val="en-US" w:eastAsia="zh-CN"/>
              </w:rPr>
              <w:t>日前</w:t>
            </w:r>
            <w:permEnd w:id="25"/>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8"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8"/>
            <w:r>
              <w:rPr>
                <w:rFonts w:hint="default" w:ascii="Times New Roman" w:hAnsi="Times New Roman" w:cs="Times New Roman"/>
                <w:szCs w:val="21"/>
                <w:highlight w:val="none"/>
              </w:rPr>
              <w:t>的形式：</w:t>
            </w:r>
            <w:permStart w:id="29" w:edGrp="everyone"/>
            <w:r>
              <w:rPr>
                <w:rFonts w:hint="default" w:ascii="Times New Roman" w:hAnsi="Times New Roman" w:cs="Times New Roman"/>
                <w:b/>
                <w:bCs/>
                <w:color w:val="FF0000"/>
                <w:szCs w:val="21"/>
                <w:highlight w:val="none"/>
              </w:rPr>
              <w:t>银行汇款或转账</w:t>
            </w:r>
            <w:permEnd w:id="29"/>
          </w:p>
          <w:p>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0" w:edGrp="everyone"/>
            <w:r>
              <w:rPr>
                <w:rFonts w:hint="eastAsia" w:ascii="Times New Roman" w:hAnsi="Times New Roman" w:cs="Times New Roman"/>
                <w:b/>
                <w:bCs/>
                <w:color w:val="FF0000"/>
                <w:szCs w:val="21"/>
                <w:highlight w:val="none"/>
                <w:u w:val="single"/>
                <w:lang w:val="en-US" w:eastAsia="zh-CN"/>
              </w:rPr>
              <w:t xml:space="preserve"> 10500元  </w:t>
            </w:r>
            <w:permEnd w:id="30"/>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1" w:edGrp="everyone"/>
            <w:r>
              <w:rPr>
                <w:rFonts w:hint="eastAsia" w:ascii="Times New Roman" w:hAnsi="Times New Roman" w:cs="Times New Roman"/>
                <w:b/>
                <w:bCs/>
                <w:color w:val="FF0000"/>
                <w:szCs w:val="21"/>
                <w:highlight w:val="none"/>
                <w:lang w:val="en-US" w:eastAsia="zh-CN"/>
              </w:rPr>
              <w:t>AHTKJS-2025-45号保证金</w:t>
            </w:r>
            <w:permEnd w:id="3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2" w:edGrp="everyone"/>
            <w:r>
              <w:rPr>
                <w:rFonts w:hint="eastAsia" w:ascii="Times New Roman" w:hAnsi="Times New Roman" w:cs="Times New Roman"/>
                <w:b/>
                <w:bCs/>
                <w:color w:val="FF0000"/>
                <w:szCs w:val="21"/>
                <w:highlight w:val="none"/>
                <w:u w:val="none"/>
                <w:lang w:val="en-US" w:eastAsia="zh-CN"/>
              </w:rPr>
              <w:t>正本1份、副本2份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2"/>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33"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安徽通康建设工程有限公司2楼开标室</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309省道（原307亳州段）一级公路交安工程专项养护施工项目灌缝劳务工程</w:t>
            </w:r>
            <w:r>
              <w:rPr>
                <w:rFonts w:hint="eastAsia" w:ascii="Times New Roman" w:hAnsi="Times New Roman" w:cs="Times New Roman"/>
                <w:color w:val="FF0000"/>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项目编号：AHTKJS-2025-45号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7</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16</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bookmarkStart w:id="323" w:name="_GoBack"/>
            <w:bookmarkEnd w:id="32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4"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FF0000"/>
                <w:szCs w:val="21"/>
                <w:highlight w:val="none"/>
                <w:u w:val="single"/>
                <w:lang w:val="en-US" w:eastAsia="zh-CN"/>
              </w:rPr>
              <w:t>安徽通康建设工程有限公司3楼法务部（谯城区甘菊路与神农大道交叉口西180米易而购超市西侧办公楼3楼）；</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5"/>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6"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7"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p>
          <w:permEnd w:id="37"/>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8"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38"/>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9"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6996921"/>
      <w:bookmarkStart w:id="1" w:name="_Toc144974500"/>
      <w:bookmarkStart w:id="2" w:name="_Toc152042308"/>
      <w:bookmarkStart w:id="3" w:name="_Toc296602423"/>
      <w:bookmarkStart w:id="4" w:name="_Toc246996178"/>
      <w:bookmarkStart w:id="5" w:name="_Toc247085692"/>
      <w:bookmarkStart w:id="6" w:name="_Toc179632549"/>
      <w:bookmarkStart w:id="7" w:name="_Toc152045532"/>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6996181"/>
      <w:bookmarkStart w:id="9" w:name="_Toc296602426"/>
      <w:bookmarkStart w:id="10" w:name="_Toc152042312"/>
      <w:bookmarkStart w:id="11" w:name="_Toc247085695"/>
      <w:bookmarkStart w:id="12" w:name="_Toc246996924"/>
      <w:bookmarkStart w:id="13" w:name="_Toc144974504"/>
      <w:bookmarkStart w:id="14" w:name="_Toc152045536"/>
      <w:bookmarkStart w:id="15" w:name="_Toc179632553"/>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6996182"/>
      <w:bookmarkStart w:id="18" w:name="_Toc247085696"/>
      <w:bookmarkStart w:id="19" w:name="_Toc179632554"/>
      <w:bookmarkStart w:id="20" w:name="_Toc152045537"/>
      <w:bookmarkStart w:id="21" w:name="_Toc152042313"/>
      <w:bookmarkStart w:id="22" w:name="_Toc296602427"/>
      <w:bookmarkStart w:id="23" w:name="_Toc246996925"/>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44974506"/>
      <w:bookmarkStart w:id="25" w:name="_Toc247085697"/>
      <w:bookmarkStart w:id="26" w:name="_Toc179632555"/>
      <w:bookmarkStart w:id="27" w:name="_Toc246996183"/>
      <w:bookmarkStart w:id="28" w:name="_Toc152045538"/>
      <w:bookmarkStart w:id="29" w:name="_Toc152042314"/>
      <w:bookmarkStart w:id="30" w:name="_Toc24699692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6996187"/>
      <w:bookmarkStart w:id="32" w:name="_Toc179632560"/>
      <w:bookmarkStart w:id="33" w:name="_Toc144974510"/>
      <w:bookmarkStart w:id="34" w:name="_Toc247085701"/>
      <w:bookmarkStart w:id="35" w:name="_Toc152045542"/>
      <w:bookmarkStart w:id="36" w:name="_Toc152042318"/>
      <w:bookmarkStart w:id="37" w:name="_Toc296602432"/>
      <w:bookmarkStart w:id="38" w:name="_Toc246996930"/>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52042319"/>
      <w:bookmarkStart w:id="40" w:name="_Toc152045543"/>
      <w:bookmarkStart w:id="41" w:name="_Toc246996188"/>
      <w:bookmarkStart w:id="42" w:name="_Toc247085702"/>
      <w:bookmarkStart w:id="43" w:name="_Toc296602433"/>
      <w:bookmarkStart w:id="44" w:name="_Toc179632561"/>
      <w:bookmarkStart w:id="45" w:name="_Toc144974511"/>
      <w:bookmarkStart w:id="46" w:name="_Toc24699693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79632562"/>
      <w:bookmarkStart w:id="48" w:name="_Toc246996189"/>
      <w:bookmarkStart w:id="49" w:name="_Toc246996932"/>
      <w:bookmarkStart w:id="50" w:name="_Toc144974512"/>
      <w:bookmarkStart w:id="51" w:name="_Toc152045544"/>
      <w:bookmarkStart w:id="52" w:name="_Toc152042320"/>
      <w:bookmarkStart w:id="53" w:name="_Toc247085703"/>
      <w:bookmarkStart w:id="54" w:name="_Toc296602434"/>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79632563"/>
      <w:bookmarkStart w:id="56" w:name="_Toc246996933"/>
      <w:bookmarkStart w:id="57" w:name="_Toc144974513"/>
      <w:bookmarkStart w:id="58" w:name="_Toc152042321"/>
      <w:bookmarkStart w:id="59" w:name="_Toc246996190"/>
      <w:bookmarkStart w:id="60" w:name="_Toc247085704"/>
      <w:bookmarkStart w:id="61" w:name="_Toc152045545"/>
      <w:bookmarkStart w:id="62" w:name="_Toc296602435"/>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46996934"/>
      <w:bookmarkStart w:id="64" w:name="_Toc296602436"/>
      <w:bookmarkStart w:id="65" w:name="_Toc247085705"/>
      <w:bookmarkStart w:id="66" w:name="_Toc246996191"/>
      <w:bookmarkStart w:id="67" w:name="_Toc144974514"/>
      <w:bookmarkStart w:id="68" w:name="_Toc152045546"/>
      <w:bookmarkStart w:id="69" w:name="_Toc179632564"/>
      <w:bookmarkStart w:id="70" w:name="_Toc152042322"/>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44974515"/>
      <w:bookmarkStart w:id="72" w:name="_Toc152045547"/>
      <w:bookmarkStart w:id="73" w:name="_Toc246996192"/>
      <w:bookmarkStart w:id="74" w:name="_Toc179632565"/>
      <w:bookmarkStart w:id="75" w:name="_Toc246996935"/>
      <w:bookmarkStart w:id="76" w:name="_Toc296602437"/>
      <w:bookmarkStart w:id="77" w:name="_Toc247085706"/>
      <w:bookmarkStart w:id="78" w:name="_Toc152042323"/>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44974516"/>
      <w:bookmarkStart w:id="80" w:name="_Toc152042324"/>
      <w:bookmarkStart w:id="81" w:name="_Toc247085707"/>
      <w:bookmarkStart w:id="82" w:name="_Toc246996936"/>
      <w:bookmarkStart w:id="83" w:name="_Toc179632566"/>
      <w:bookmarkStart w:id="84" w:name="_Toc296602438"/>
      <w:bookmarkStart w:id="85" w:name="_Toc152045548"/>
      <w:bookmarkStart w:id="86" w:name="_Toc246996193"/>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2325"/>
      <w:bookmarkStart w:id="88" w:name="_Toc152045549"/>
      <w:bookmarkStart w:id="89" w:name="_Toc144974517"/>
      <w:bookmarkStart w:id="90"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194"/>
      <w:bookmarkStart w:id="92" w:name="_Toc247085708"/>
      <w:bookmarkStart w:id="93" w:name="_Toc246996937"/>
      <w:bookmarkStart w:id="94" w:name="_Toc296602439"/>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44974523"/>
      <w:bookmarkStart w:id="96" w:name="_Toc296602443"/>
      <w:bookmarkStart w:id="97" w:name="_Toc179632573"/>
      <w:bookmarkStart w:id="98" w:name="_Toc246996942"/>
      <w:bookmarkStart w:id="99" w:name="_Toc247085713"/>
      <w:bookmarkStart w:id="100" w:name="_Toc152045555"/>
      <w:bookmarkStart w:id="101" w:name="_Toc152042331"/>
      <w:bookmarkStart w:id="102" w:name="_Toc246996199"/>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943"/>
      <w:bookmarkStart w:id="104" w:name="_Toc246996200"/>
      <w:bookmarkStart w:id="105" w:name="_Toc144974524"/>
      <w:bookmarkStart w:id="106" w:name="_Toc152042332"/>
      <w:bookmarkStart w:id="107" w:name="_Toc152045556"/>
      <w:bookmarkStart w:id="108" w:name="_Toc247085714"/>
      <w:bookmarkStart w:id="109" w:name="_Toc179632574"/>
      <w:bookmarkStart w:id="110" w:name="_Toc29660244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52045557"/>
      <w:bookmarkStart w:id="112" w:name="_Toc144974525"/>
      <w:bookmarkStart w:id="113" w:name="_Toc246996944"/>
      <w:bookmarkStart w:id="114" w:name="_Toc247085715"/>
      <w:bookmarkStart w:id="115" w:name="_Toc246996201"/>
      <w:bookmarkStart w:id="116" w:name="_Toc179632575"/>
      <w:bookmarkStart w:id="117" w:name="_Toc152042333"/>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52042334"/>
      <w:bookmarkStart w:id="119" w:name="_Toc247085716"/>
      <w:bookmarkStart w:id="120" w:name="_Toc144974526"/>
      <w:bookmarkStart w:id="121" w:name="_Toc246996202"/>
      <w:bookmarkStart w:id="122" w:name="_Toc246996945"/>
      <w:bookmarkStart w:id="123" w:name="_Toc152045558"/>
      <w:bookmarkStart w:id="124" w:name="_Toc296602446"/>
      <w:bookmarkStart w:id="125" w:name="_Toc17963257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6996203"/>
      <w:bookmarkStart w:id="127" w:name="_Toc152042335"/>
      <w:bookmarkStart w:id="128" w:name="_Toc152045559"/>
      <w:bookmarkStart w:id="129" w:name="_Toc144974527"/>
      <w:bookmarkStart w:id="130" w:name="_Toc296602447"/>
      <w:bookmarkStart w:id="131" w:name="_Toc179632577"/>
      <w:bookmarkStart w:id="132" w:name="_Toc247085717"/>
      <w:bookmarkStart w:id="133" w:name="_Toc246996946"/>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44974528"/>
      <w:bookmarkStart w:id="135" w:name="_Toc152045560"/>
      <w:bookmarkStart w:id="136" w:name="_Toc179632578"/>
      <w:bookmarkStart w:id="137" w:name="_Toc152042336"/>
      <w:bookmarkStart w:id="138" w:name="_Toc246996947"/>
      <w:bookmarkStart w:id="139" w:name="_Toc246996204"/>
      <w:bookmarkStart w:id="140" w:name="_Toc296602448"/>
      <w:bookmarkStart w:id="141" w:name="_Toc24708571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52045561"/>
      <w:bookmarkStart w:id="143" w:name="_Toc179632579"/>
      <w:bookmarkStart w:id="144" w:name="_Toc247085719"/>
      <w:bookmarkStart w:id="145" w:name="_Toc296602449"/>
      <w:bookmarkStart w:id="146" w:name="_Toc144974529"/>
      <w:bookmarkStart w:id="147" w:name="_Toc152042337"/>
      <w:bookmarkStart w:id="148" w:name="_Toc246996948"/>
      <w:bookmarkStart w:id="149" w:name="_Toc246996205"/>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52045563"/>
      <w:bookmarkStart w:id="151" w:name="_Toc247085721"/>
      <w:bookmarkStart w:id="152" w:name="_Toc152042339"/>
      <w:bookmarkStart w:id="153" w:name="_Toc246996207"/>
      <w:bookmarkStart w:id="154" w:name="_Toc144974531"/>
      <w:bookmarkStart w:id="155" w:name="_Toc246996950"/>
      <w:bookmarkStart w:id="156" w:name="_Toc296602452"/>
      <w:bookmarkStart w:id="157" w:name="_Toc17963258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79632584"/>
      <w:bookmarkStart w:id="159" w:name="_Toc144974534"/>
      <w:bookmarkStart w:id="160" w:name="_Toc152045566"/>
      <w:bookmarkStart w:id="161" w:name="_Toc247085724"/>
      <w:bookmarkStart w:id="162" w:name="_Toc296602455"/>
      <w:bookmarkStart w:id="163" w:name="_Toc246996210"/>
      <w:bookmarkStart w:id="164" w:name="_Toc246996953"/>
      <w:bookmarkStart w:id="165" w:name="_Toc152042342"/>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79632585"/>
      <w:bookmarkStart w:id="167" w:name="_Toc247085725"/>
      <w:bookmarkStart w:id="168" w:name="_Toc152042343"/>
      <w:bookmarkStart w:id="169" w:name="_Toc246996954"/>
      <w:bookmarkStart w:id="170" w:name="_Toc246996211"/>
      <w:bookmarkStart w:id="171" w:name="_Toc152045567"/>
      <w:bookmarkStart w:id="172" w:name="_Toc144974535"/>
      <w:bookmarkStart w:id="173" w:name="_Toc296602456"/>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79632586"/>
      <w:bookmarkStart w:id="176" w:name="_Toc296602458"/>
      <w:bookmarkStart w:id="177" w:name="_Toc246996955"/>
      <w:bookmarkStart w:id="178" w:name="_Toc152042344"/>
      <w:bookmarkStart w:id="179" w:name="_Toc152045568"/>
      <w:bookmarkStart w:id="180" w:name="_Toc144974536"/>
      <w:bookmarkStart w:id="181" w:name="_Toc246996212"/>
      <w:bookmarkStart w:id="182" w:name="_Toc24708572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96602459"/>
      <w:bookmarkStart w:id="184" w:name="_Toc152045569"/>
      <w:bookmarkStart w:id="185" w:name="_Toc246996213"/>
      <w:bookmarkStart w:id="186" w:name="_Toc179632587"/>
      <w:bookmarkStart w:id="187" w:name="_Toc247085727"/>
      <w:bookmarkStart w:id="188" w:name="_Toc144974537"/>
      <w:bookmarkStart w:id="189" w:name="_Toc246996956"/>
      <w:bookmarkStart w:id="190" w:name="_Toc152042345"/>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52045575"/>
      <w:bookmarkStart w:id="193" w:name="_Toc296602462"/>
      <w:bookmarkStart w:id="194" w:name="_Toc247085733"/>
      <w:bookmarkStart w:id="195" w:name="_Toc246996219"/>
      <w:bookmarkStart w:id="196" w:name="_Toc179632593"/>
      <w:bookmarkStart w:id="197" w:name="_Toc144974543"/>
      <w:bookmarkStart w:id="198" w:name="_Toc296590983"/>
      <w:bookmarkStart w:id="199" w:name="_Toc246996962"/>
      <w:bookmarkStart w:id="200" w:name="_Toc152042351"/>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pPr>
        <w:pStyle w:val="4"/>
        <w:bidi w:val="0"/>
        <w:rPr>
          <w:rFonts w:hint="eastAsia" w:eastAsia="黑体"/>
          <w:lang w:eastAsia="zh-CN"/>
        </w:rPr>
      </w:pPr>
      <w:bookmarkStart w:id="201" w:name="_Toc144974544"/>
      <w:bookmarkStart w:id="202" w:name="_Toc179632594"/>
      <w:bookmarkStart w:id="203" w:name="_Toc246996963"/>
      <w:bookmarkStart w:id="204" w:name="_Toc247085734"/>
      <w:bookmarkStart w:id="205" w:name="_Toc152042352"/>
      <w:bookmarkStart w:id="206" w:name="_Toc296602463"/>
      <w:bookmarkStart w:id="207" w:name="_Toc246996220"/>
      <w:bookmarkStart w:id="208" w:name="_Toc152045576"/>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6996221"/>
      <w:bookmarkStart w:id="210" w:name="_Toc152042353"/>
      <w:bookmarkStart w:id="211" w:name="_Toc152045577"/>
      <w:bookmarkStart w:id="212" w:name="_Toc246996964"/>
      <w:bookmarkStart w:id="213" w:name="_Toc179632595"/>
      <w:bookmarkStart w:id="214" w:name="_Toc144974545"/>
      <w:bookmarkStart w:id="215" w:name="_Toc296602464"/>
      <w:bookmarkStart w:id="216" w:name="_Toc24708573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0" w:edGrp="everyone"/>
      <w:r>
        <w:rPr>
          <w:rFonts w:hint="eastAsia" w:ascii="宋体" w:hAnsi="宋体"/>
          <w:color w:val="FF0000"/>
          <w:sz w:val="24"/>
          <w:lang w:val="en-US" w:eastAsia="zh-CN"/>
        </w:rPr>
        <w:t>最低评审价法</w:t>
      </w:r>
      <w:permEnd w:id="40"/>
      <w:r>
        <w:rPr>
          <w:rFonts w:hint="eastAsia" w:ascii="宋体" w:hAnsi="宋体"/>
          <w:sz w:val="24"/>
          <w:lang w:val="en-US" w:eastAsia="zh-CN"/>
        </w:rPr>
        <w:t>，根据项目询比文件要求，实行初审和复审。</w:t>
      </w:r>
    </w:p>
    <w:p>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6996975"/>
            <w:bookmarkStart w:id="218" w:name="_Toc144974556"/>
            <w:bookmarkStart w:id="219" w:name="_Toc152042366"/>
            <w:bookmarkStart w:id="220" w:name="_Toc246996232"/>
            <w:bookmarkStart w:id="221" w:name="_Toc179632607"/>
            <w:bookmarkStart w:id="222" w:name="_Toc247085747"/>
            <w:bookmarkStart w:id="223" w:name="_Toc296602477"/>
            <w:bookmarkStart w:id="224" w:name="_Toc152045589"/>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eastAsia="zh-CN"/>
              </w:rPr>
              <w:t>提供合法有效的“多证合一”证件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pPr>
        <w:rPr>
          <w:rFonts w:hint="eastAsia" w:ascii="Times New Roman" w:hAnsi="Times New Roman" w:cs="Times New Roman"/>
          <w:kern w:val="0"/>
          <w:sz w:val="24"/>
          <w:szCs w:val="24"/>
          <w:highlight w:val="none"/>
          <w:lang w:val="en-US" w:eastAsia="zh-CN"/>
        </w:rPr>
      </w:pPr>
      <w:bookmarkStart w:id="225" w:name="_Toc152042370"/>
      <w:bookmarkStart w:id="226" w:name="_Toc296602481"/>
      <w:bookmarkStart w:id="227" w:name="_Toc144974560"/>
      <w:bookmarkStart w:id="228" w:name="_Toc246996236"/>
      <w:bookmarkStart w:id="229" w:name="_Toc152045593"/>
      <w:bookmarkStart w:id="230" w:name="_Toc247085751"/>
      <w:bookmarkStart w:id="231" w:name="_Toc179632611"/>
      <w:bookmarkStart w:id="232" w:name="_Toc246996979"/>
    </w:p>
    <w:p>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79632614"/>
      <w:bookmarkStart w:id="235" w:name="_Toc152045596"/>
      <w:bookmarkStart w:id="236" w:name="_Toc246996982"/>
      <w:bookmarkStart w:id="237" w:name="_Toc296602484"/>
      <w:bookmarkStart w:id="238" w:name="_Toc247085754"/>
      <w:bookmarkStart w:id="239" w:name="_Toc152042373"/>
      <w:bookmarkStart w:id="240" w:name="_Toc246996239"/>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1"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无预付款，根据成交人每月实际完成合格工程量，采购人次月向成交人支付上月实际完成合格工程量合同价款的80%；交工验收完成付至实际完成合同价款的97%，余款3%待1年缺陷责任期满后无息退还。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缺陷责任期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自工程验收合格之日起1年。</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pPr>
        <w:pStyle w:val="2"/>
        <w:rPr>
          <w:rFonts w:hint="eastAsia" w:ascii="Times New Roman" w:hAnsi="Times New Roman" w:cs="Times New Roman"/>
          <w:kern w:val="0"/>
          <w:sz w:val="24"/>
          <w:szCs w:val="24"/>
          <w:highlight w:val="none"/>
          <w:lang w:val="en-US" w:eastAsia="zh-CN"/>
        </w:rPr>
      </w:pPr>
    </w:p>
    <w:p>
      <w:pPr>
        <w:pStyle w:val="2"/>
        <w:rPr>
          <w:rFonts w:hint="default"/>
          <w:lang w:val="en-US" w:eastAsia="zh-CN"/>
        </w:rPr>
      </w:pPr>
      <w:r>
        <w:rPr>
          <w:rFonts w:hint="eastAsia" w:ascii="Times New Roman" w:hAnsi="Times New Roman" w:cs="Times New Roman"/>
          <w:kern w:val="0"/>
          <w:sz w:val="24"/>
          <w:szCs w:val="24"/>
          <w:highlight w:val="none"/>
          <w:lang w:val="en-US" w:eastAsia="zh-CN"/>
        </w:rPr>
        <w:t>1.采购清单：</w:t>
      </w:r>
    </w:p>
    <w:tbl>
      <w:tblPr>
        <w:tblStyle w:val="19"/>
        <w:tblpPr w:leftFromText="180" w:rightFromText="180" w:vertAnchor="text" w:horzAnchor="page" w:tblpX="1617" w:tblpY="597"/>
        <w:tblOverlap w:val="never"/>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8"/>
        <w:gridCol w:w="1487"/>
        <w:gridCol w:w="1186"/>
        <w:gridCol w:w="1357"/>
        <w:gridCol w:w="1092"/>
        <w:gridCol w:w="919"/>
        <w:gridCol w:w="919"/>
        <w:gridCol w:w="24"/>
        <w:gridCol w:w="9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363"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default" w:asciiTheme="minorEastAsia" w:hAnsiTheme="minorEastAsia" w:eastAsiaTheme="minorEastAsia" w:cstheme="minorEastAsia"/>
                <w:kern w:val="2"/>
                <w:sz w:val="21"/>
                <w:szCs w:val="21"/>
                <w:highlight w:val="none"/>
                <w:lang w:val="en-US" w:eastAsia="zh-CN"/>
              </w:rPr>
              <w:t>序号</w:t>
            </w:r>
          </w:p>
        </w:tc>
        <w:tc>
          <w:tcPr>
            <w:tcW w:w="873"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施工项目</w:t>
            </w:r>
          </w:p>
        </w:tc>
        <w:tc>
          <w:tcPr>
            <w:tcW w:w="696"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 xml:space="preserve"> 单价（不含税，元/m）</w:t>
            </w:r>
          </w:p>
        </w:tc>
        <w:tc>
          <w:tcPr>
            <w:tcW w:w="795"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数量（m）</w:t>
            </w:r>
          </w:p>
        </w:tc>
        <w:tc>
          <w:tcPr>
            <w:tcW w:w="641"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总价（元）</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不含税</w:t>
            </w:r>
          </w:p>
        </w:tc>
        <w:tc>
          <w:tcPr>
            <w:tcW w:w="53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税率</w:t>
            </w:r>
          </w:p>
        </w:tc>
        <w:tc>
          <w:tcPr>
            <w:tcW w:w="53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总价（元）</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含税</w:t>
            </w:r>
          </w:p>
        </w:tc>
        <w:tc>
          <w:tcPr>
            <w:tcW w:w="550" w:type="pct"/>
            <w:gridSpan w:val="2"/>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363"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1</w:t>
            </w:r>
          </w:p>
        </w:tc>
        <w:tc>
          <w:tcPr>
            <w:tcW w:w="873"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扩缝灌缝</w:t>
            </w:r>
          </w:p>
        </w:tc>
        <w:tc>
          <w:tcPr>
            <w:tcW w:w="696"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795"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50000</w:t>
            </w:r>
          </w:p>
        </w:tc>
        <w:tc>
          <w:tcPr>
            <w:tcW w:w="641"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53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53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550" w:type="pct"/>
            <w:gridSpan w:val="2"/>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363"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2</w:t>
            </w:r>
          </w:p>
        </w:tc>
        <w:tc>
          <w:tcPr>
            <w:tcW w:w="873"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清缝灌缝</w:t>
            </w:r>
          </w:p>
        </w:tc>
        <w:tc>
          <w:tcPr>
            <w:tcW w:w="696"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795"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150000</w:t>
            </w:r>
          </w:p>
        </w:tc>
        <w:tc>
          <w:tcPr>
            <w:tcW w:w="641"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53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53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550" w:type="pct"/>
            <w:gridSpan w:val="2"/>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2728" w:type="pct"/>
            <w:gridSpan w:val="4"/>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合计</w:t>
            </w:r>
          </w:p>
        </w:tc>
        <w:tc>
          <w:tcPr>
            <w:tcW w:w="641"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53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53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550" w:type="pct"/>
            <w:gridSpan w:val="2"/>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4461" w:type="pct"/>
            <w:gridSpan w:val="8"/>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注：最终结算数量以实际完成合格工程量为准</w:t>
            </w:r>
          </w:p>
        </w:tc>
        <w:tc>
          <w:tcPr>
            <w:tcW w:w="538"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kern w:val="2"/>
          <w:sz w:val="28"/>
          <w:szCs w:val="28"/>
          <w:highlight w:val="none"/>
          <w:lang w:val="en-US" w:eastAsia="zh-CN"/>
        </w:rPr>
        <w:t>2.</w:t>
      </w:r>
      <w:r>
        <w:rPr>
          <w:rFonts w:hint="eastAsia" w:asciiTheme="minorEastAsia" w:hAnsiTheme="minorEastAsia" w:eastAsiaTheme="minorEastAsia" w:cstheme="minorEastAsia"/>
          <w:kern w:val="2"/>
          <w:sz w:val="28"/>
          <w:szCs w:val="28"/>
          <w:highlight w:val="none"/>
          <w:lang w:val="en-US" w:eastAsia="zh-CN"/>
        </w:rPr>
        <w:t>成交人对工程质量缺陷承担返修责任，如因作业不规范等原因导致的工程质量缺陷，成交人应无偿进行返修，直至工程质量达到合格标准。成交人拒绝承担返修责任的，采购人有权自行进行返修，返修发生的费用从成交人工程价款中据实扣除。</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kern w:val="2"/>
          <w:sz w:val="28"/>
          <w:szCs w:val="28"/>
          <w:highlight w:val="none"/>
          <w:lang w:val="en-US" w:eastAsia="zh-CN"/>
        </w:rPr>
        <w:t>3.</w:t>
      </w:r>
      <w:r>
        <w:rPr>
          <w:rFonts w:hint="eastAsia" w:asciiTheme="minorEastAsia" w:hAnsiTheme="minorEastAsia" w:eastAsiaTheme="minorEastAsia" w:cstheme="minorEastAsia"/>
          <w:kern w:val="2"/>
          <w:sz w:val="28"/>
          <w:szCs w:val="28"/>
          <w:highlight w:val="none"/>
          <w:lang w:val="en-US" w:eastAsia="zh-CN"/>
        </w:rPr>
        <w:t>因成交人作业不规范等原因，给采购人造成经济损失的，成交人应当据实赔偿。成交人拒绝承担赔偿责任的，采购人有</w:t>
      </w:r>
      <w:r>
        <w:rPr>
          <w:rFonts w:hint="eastAsia" w:asciiTheme="minorEastAsia" w:hAnsiTheme="minorEastAsia" w:cstheme="minorEastAsia"/>
          <w:kern w:val="2"/>
          <w:sz w:val="28"/>
          <w:szCs w:val="28"/>
          <w:highlight w:val="none"/>
          <w:lang w:val="en-US" w:eastAsia="zh-CN"/>
        </w:rPr>
        <w:t>权通过工程价款</w:t>
      </w:r>
      <w:r>
        <w:rPr>
          <w:rFonts w:hint="eastAsia" w:asciiTheme="minorEastAsia" w:hAnsiTheme="minorEastAsia" w:eastAsiaTheme="minorEastAsia" w:cstheme="minorEastAsia"/>
          <w:kern w:val="2"/>
          <w:sz w:val="28"/>
          <w:szCs w:val="28"/>
          <w:highlight w:val="none"/>
          <w:lang w:val="en-US" w:eastAsia="zh-CN"/>
        </w:rPr>
        <w:t>据实</w:t>
      </w:r>
      <w:r>
        <w:rPr>
          <w:rFonts w:hint="eastAsia" w:asciiTheme="minorEastAsia" w:hAnsiTheme="minorEastAsia" w:cstheme="minorEastAsia"/>
          <w:kern w:val="2"/>
          <w:sz w:val="28"/>
          <w:szCs w:val="28"/>
          <w:highlight w:val="none"/>
          <w:lang w:val="en-US" w:eastAsia="zh-CN"/>
        </w:rPr>
        <w:t>扣除</w:t>
      </w:r>
      <w:r>
        <w:rPr>
          <w:rFonts w:hint="eastAsia" w:asciiTheme="minorEastAsia" w:hAnsiTheme="minorEastAsia" w:eastAsiaTheme="minorEastAsia" w:cstheme="minorEastAsia"/>
          <w:kern w:val="2"/>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kern w:val="2"/>
          <w:sz w:val="28"/>
          <w:szCs w:val="28"/>
          <w:highlight w:val="none"/>
          <w:lang w:val="en-US" w:eastAsia="zh-CN"/>
        </w:rPr>
        <w:t>4.</w:t>
      </w:r>
      <w:r>
        <w:rPr>
          <w:rFonts w:hint="eastAsia" w:asciiTheme="minorEastAsia" w:hAnsiTheme="minorEastAsia" w:eastAsiaTheme="minorEastAsia" w:cstheme="minorEastAsia"/>
          <w:kern w:val="2"/>
          <w:sz w:val="28"/>
          <w:szCs w:val="28"/>
          <w:highlight w:val="none"/>
          <w:lang w:val="en-US" w:eastAsia="zh-CN"/>
        </w:rPr>
        <w:t>包含灌缝机械设备、劳务、小型工器具、安全防护措施（包括但不限于反光锥、施工标志牌、爆闪灯等安全物资</w:t>
      </w:r>
      <w:r>
        <w:rPr>
          <w:rFonts w:hint="eastAsia" w:asciiTheme="minorEastAsia" w:hAnsiTheme="minorEastAsia" w:cstheme="minorEastAsia"/>
          <w:kern w:val="2"/>
          <w:sz w:val="28"/>
          <w:szCs w:val="28"/>
          <w:highlight w:val="none"/>
          <w:lang w:val="en-US" w:eastAsia="zh-CN"/>
        </w:rPr>
        <w:t>由成交人提供</w:t>
      </w:r>
      <w:r>
        <w:rPr>
          <w:rFonts w:hint="eastAsia" w:asciiTheme="minorEastAsia" w:hAnsiTheme="minorEastAsia" w:eastAsiaTheme="minorEastAsia" w:cstheme="minorEastAsia"/>
          <w:kern w:val="2"/>
          <w:sz w:val="28"/>
          <w:szCs w:val="28"/>
          <w:highlight w:val="none"/>
          <w:lang w:val="en-US" w:eastAsia="zh-CN"/>
        </w:rPr>
        <w:t>）等，安全防护措施需按《公路养护安全作业规程》（</w:t>
      </w:r>
      <w:r>
        <w:rPr>
          <w:rFonts w:hint="default" w:asciiTheme="minorEastAsia" w:hAnsiTheme="minorEastAsia" w:eastAsiaTheme="minorEastAsia" w:cstheme="minorEastAsia"/>
          <w:kern w:val="2"/>
          <w:sz w:val="28"/>
          <w:szCs w:val="28"/>
          <w:highlight w:val="none"/>
          <w:lang w:val="en-US" w:eastAsia="zh-CN"/>
        </w:rPr>
        <w:t>JTG H30-2015</w:t>
      </w:r>
      <w:r>
        <w:rPr>
          <w:rFonts w:hint="eastAsia" w:asciiTheme="minorEastAsia" w:hAnsiTheme="minorEastAsia" w:eastAsiaTheme="minorEastAsia" w:cstheme="minorEastAsia"/>
          <w:kern w:val="2"/>
          <w:sz w:val="28"/>
          <w:szCs w:val="28"/>
          <w:highlight w:val="none"/>
          <w:lang w:val="en-US" w:eastAsia="zh-CN"/>
        </w:rPr>
        <w:t>）设置。</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309省道（原307亳州段）一级公路交安工程专项养护施工项目灌缝劳务工程</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AHTKJS-2025-45号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cs="Times New Roman"/>
        </w:rPr>
      </w:pPr>
      <w:bookmarkStart w:id="241" w:name="_Toc152042576"/>
      <w:bookmarkStart w:id="242" w:name="_Toc144974856"/>
      <w:bookmarkStart w:id="243" w:name="_Toc300835209"/>
      <w:bookmarkStart w:id="244" w:name="_Toc247527827"/>
      <w:bookmarkStart w:id="245" w:name="_Toc152045787"/>
      <w:bookmarkStart w:id="246" w:name="_Toc247514246"/>
      <w:r>
        <w:rPr>
          <w:rFonts w:hint="default" w:ascii="Times New Roman" w:hAnsi="Times New Roman" w:cs="Times New Roman"/>
        </w:rPr>
        <w:t>目    录</w:t>
      </w:r>
      <w:bookmarkEnd w:id="241"/>
      <w:bookmarkEnd w:id="242"/>
      <w:bookmarkEnd w:id="243"/>
      <w:bookmarkEnd w:id="244"/>
      <w:bookmarkEnd w:id="245"/>
      <w:bookmarkEnd w:id="246"/>
    </w:p>
    <w:p>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pPr>
              <w:spacing w:line="540" w:lineRule="exact"/>
              <w:jc w:val="center"/>
              <w:rPr>
                <w:rFonts w:hint="default" w:ascii="Times New Roman" w:hAnsi="Times New Roman" w:cs="Times New Roman"/>
                <w:vertAlign w:val="baseline"/>
              </w:rPr>
            </w:pPr>
          </w:p>
        </w:tc>
      </w:tr>
    </w:tbl>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4"/>
        <w:jc w:val="center"/>
        <w:rPr>
          <w:rFonts w:hint="default" w:ascii="Times New Roman" w:hAnsi="Times New Roman" w:eastAsia="黑体" w:cs="Times New Roman"/>
          <w:sz w:val="20"/>
          <w:szCs w:val="20"/>
        </w:rPr>
      </w:pPr>
      <w:bookmarkStart w:id="247" w:name="_Toc247514247"/>
      <w:bookmarkStart w:id="248" w:name="_Toc300835210"/>
      <w:bookmarkStart w:id="249" w:name="_Toc152045788"/>
      <w:bookmarkStart w:id="250" w:name="_Toc247527828"/>
      <w:bookmarkStart w:id="251" w:name="_Toc152042577"/>
      <w:bookmarkStart w:id="252"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pPr>
        <w:spacing w:line="440" w:lineRule="exact"/>
        <w:rPr>
          <w:rFonts w:hint="default" w:ascii="Times New Roman" w:hAnsi="Times New Roman" w:cs="Times New Roman"/>
          <w:szCs w:val="21"/>
        </w:rPr>
      </w:pPr>
      <w:bookmarkStart w:id="253" w:name="_Toc300835212"/>
      <w:bookmarkStart w:id="254" w:name="_Toc247527830"/>
      <w:bookmarkStart w:id="255" w:name="_Toc144974859"/>
      <w:bookmarkStart w:id="256" w:name="_Toc152042579"/>
      <w:bookmarkStart w:id="257" w:name="_Toc247514249"/>
      <w:bookmarkStart w:id="258" w:name="_Toc152045790"/>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309省道（原307亳州段）一级公路交安工程专项养护施工项目灌缝劳务工程</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2"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AHTKJS-2025-45号</w:t>
      </w:r>
      <w:permEnd w:id="42"/>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3"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的总报价（不含税，另外增值税税率为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43"/>
      <w:r>
        <w:rPr>
          <w:rFonts w:hint="eastAsia" w:ascii="Times New Roman" w:hAnsi="Times New Roman" w:cs="Times New Roman"/>
          <w:szCs w:val="21"/>
          <w:lang w:val="en-US" w:eastAsia="zh-CN"/>
        </w:rPr>
        <w:t>，计划工期：自合同签订之日起1年</w:t>
      </w:r>
      <w:r>
        <w:rPr>
          <w:rFonts w:hint="eastAsia" w:ascii="Times New Roman" w:hAnsi="Times New Roman" w:cs="Times New Roman"/>
          <w:szCs w:val="21"/>
          <w:u w:val="none"/>
          <w:lang w:val="en-US" w:eastAsia="zh-CN"/>
        </w:rPr>
        <w:t>，按合同约定完成本项目全部工作。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eastAsia" w:ascii="Times New Roman" w:hAnsi="Times New Roman" w:cs="Times New Roman"/>
          <w:szCs w:val="21"/>
          <w:lang w:val="en-US" w:eastAsia="zh-CN"/>
        </w:rPr>
      </w:pP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pPr>
        <w:pStyle w:val="4"/>
        <w:jc w:val="both"/>
        <w:rPr>
          <w:rFonts w:hint="default" w:ascii="Times New Roman" w:hAnsi="Times New Roman" w:cs="Times New Roman"/>
        </w:rPr>
      </w:pPr>
      <w:bookmarkStart w:id="259" w:name="_Toc247527831"/>
      <w:bookmarkStart w:id="260" w:name="_Toc144974860"/>
      <w:bookmarkStart w:id="261" w:name="_Toc247514283"/>
      <w:bookmarkStart w:id="262" w:name="_Toc300835213"/>
      <w:bookmarkStart w:id="263" w:name="_Toc152042580"/>
      <w:bookmarkStart w:id="264" w:name="_Toc152045791"/>
    </w:p>
    <w:p>
      <w:pPr>
        <w:rPr>
          <w:rFonts w:hint="default"/>
        </w:rPr>
      </w:pPr>
    </w:p>
    <w:p>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44974861"/>
      <w:bookmarkStart w:id="266" w:name="_Toc152042581"/>
      <w:bookmarkStart w:id="267" w:name="_Toc247514284"/>
      <w:bookmarkStart w:id="268" w:name="_Toc152045792"/>
      <w:bookmarkStart w:id="269" w:name="_Toc300835214"/>
      <w:bookmarkStart w:id="270" w:name="_Toc24752783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52045794"/>
      <w:bookmarkStart w:id="272" w:name="_Toc247527834"/>
      <w:bookmarkStart w:id="273" w:name="_Toc247514286"/>
      <w:bookmarkStart w:id="274" w:name="_Toc300835216"/>
      <w:bookmarkStart w:id="275" w:name="_Toc144974862"/>
      <w:bookmarkStart w:id="276" w:name="_Toc152042583"/>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pPr>
        <w:topLinePunct/>
        <w:spacing w:line="440" w:lineRule="exact"/>
        <w:ind w:firstLine="420" w:firstLineChars="200"/>
        <w:rPr>
          <w:rFonts w:hint="eastAsia" w:ascii="Times New Roman" w:hAnsi="Times New Roman" w:cs="Times New Roman"/>
          <w:szCs w:val="21"/>
          <w:u w:val="single"/>
          <w:lang w:val="en-US" w:eastAsia="zh-CN"/>
        </w:rPr>
      </w:pP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277"/>
    <w:p>
      <w:pPr>
        <w:rPr>
          <w:rFonts w:hint="default" w:ascii="Times New Roman" w:hAnsi="Times New Roman" w:cs="Times New Roman"/>
        </w:rPr>
      </w:pPr>
      <w:bookmarkStart w:id="278" w:name="_Toc152045795"/>
      <w:bookmarkStart w:id="279" w:name="_Toc152042584"/>
      <w:bookmarkStart w:id="280" w:name="_Toc300835218"/>
      <w:bookmarkStart w:id="281" w:name="_Toc144974863"/>
      <w:bookmarkStart w:id="282" w:name="_Toc247527835"/>
      <w:bookmarkStart w:id="283" w:name="_Toc247514287"/>
      <w:r>
        <w:rPr>
          <w:rFonts w:hint="default" w:ascii="Times New Roman" w:hAnsi="Times New Roman" w:cs="Times New Roman"/>
        </w:rPr>
        <w:br w:type="page"/>
      </w:r>
    </w:p>
    <w:p>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pPr>
        <w:spacing w:before="53"/>
      </w:pPr>
    </w:p>
    <w:tbl>
      <w:tblPr>
        <w:tblStyle w:val="32"/>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3" w:hRule="atLeast"/>
        </w:trPr>
        <w:tc>
          <w:tcPr>
            <w:tcW w:w="1124" w:type="dxa"/>
            <w:vAlign w:val="top"/>
          </w:tcPr>
          <w:p>
            <w:pPr>
              <w:pStyle w:val="31"/>
              <w:spacing w:before="174" w:line="221" w:lineRule="auto"/>
              <w:ind w:left="344"/>
              <w:rPr>
                <w:sz w:val="21"/>
                <w:szCs w:val="21"/>
              </w:rPr>
            </w:pPr>
            <w:r>
              <w:rPr>
                <w:spacing w:val="6"/>
                <w:sz w:val="21"/>
                <w:szCs w:val="21"/>
              </w:rPr>
              <w:t>序号</w:t>
            </w:r>
          </w:p>
        </w:tc>
        <w:tc>
          <w:tcPr>
            <w:tcW w:w="3106" w:type="dxa"/>
            <w:vAlign w:val="top"/>
          </w:tcPr>
          <w:p>
            <w:pPr>
              <w:pStyle w:val="31"/>
              <w:spacing w:before="172" w:line="219" w:lineRule="auto"/>
              <w:ind w:left="511"/>
              <w:rPr>
                <w:sz w:val="21"/>
                <w:szCs w:val="21"/>
              </w:rPr>
            </w:pPr>
            <w:r>
              <w:rPr>
                <w:spacing w:val="1"/>
                <w:sz w:val="21"/>
                <w:szCs w:val="21"/>
              </w:rPr>
              <w:t>采购文件章节及条款号</w:t>
            </w:r>
          </w:p>
        </w:tc>
        <w:tc>
          <w:tcPr>
            <w:tcW w:w="3117" w:type="dxa"/>
            <w:vAlign w:val="top"/>
          </w:tcPr>
          <w:p>
            <w:pPr>
              <w:pStyle w:val="31"/>
              <w:spacing w:before="172" w:line="219" w:lineRule="auto"/>
              <w:ind w:left="524"/>
              <w:rPr>
                <w:sz w:val="21"/>
                <w:szCs w:val="21"/>
              </w:rPr>
            </w:pPr>
            <w:r>
              <w:rPr>
                <w:spacing w:val="1"/>
                <w:sz w:val="21"/>
                <w:szCs w:val="21"/>
              </w:rPr>
              <w:t>响应文件章节及条款号</w:t>
            </w:r>
          </w:p>
        </w:tc>
        <w:tc>
          <w:tcPr>
            <w:tcW w:w="1713" w:type="dxa"/>
            <w:vAlign w:val="top"/>
          </w:tcPr>
          <w:p>
            <w:pPr>
              <w:pStyle w:val="31"/>
              <w:spacing w:before="173" w:line="219" w:lineRule="auto"/>
              <w:ind w:left="417"/>
              <w:rPr>
                <w:sz w:val="21"/>
                <w:szCs w:val="21"/>
              </w:rPr>
            </w:pPr>
            <w:r>
              <w:rPr>
                <w:spacing w:val="5"/>
                <w:sz w:val="21"/>
                <w:szCs w:val="21"/>
              </w:rPr>
              <w:t>偏差说明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1"/>
              <w:spacing w:before="233" w:line="184" w:lineRule="auto"/>
              <w:ind w:left="495"/>
              <w:rPr>
                <w:sz w:val="21"/>
                <w:szCs w:val="21"/>
              </w:rPr>
            </w:pPr>
            <w:r>
              <w:rPr>
                <w:sz w:val="21"/>
                <w:szCs w:val="21"/>
              </w:rPr>
              <w:t>1</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1"/>
              <w:spacing w:before="235" w:line="183" w:lineRule="auto"/>
              <w:ind w:left="495"/>
              <w:rPr>
                <w:sz w:val="21"/>
                <w:szCs w:val="21"/>
              </w:rPr>
            </w:pPr>
            <w:r>
              <w:rPr>
                <w:sz w:val="21"/>
                <w:szCs w:val="21"/>
              </w:rPr>
              <w:t>2</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1"/>
              <w:spacing w:before="236" w:line="183" w:lineRule="auto"/>
              <w:ind w:left="495"/>
              <w:rPr>
                <w:sz w:val="21"/>
                <w:szCs w:val="21"/>
              </w:rPr>
            </w:pPr>
            <w:r>
              <w:rPr>
                <w:sz w:val="21"/>
                <w:szCs w:val="21"/>
              </w:rPr>
              <w:t>3</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pPr>
              <w:pStyle w:val="31"/>
              <w:spacing w:before="227" w:line="183" w:lineRule="auto"/>
              <w:ind w:left="495"/>
              <w:rPr>
                <w:sz w:val="21"/>
                <w:szCs w:val="21"/>
              </w:rPr>
            </w:pPr>
            <w:r>
              <w:rPr>
                <w:sz w:val="21"/>
                <w:szCs w:val="21"/>
              </w:rPr>
              <w:t>4</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pPr>
              <w:pStyle w:val="31"/>
              <w:spacing w:before="241" w:line="182" w:lineRule="auto"/>
              <w:ind w:left="495"/>
              <w:rPr>
                <w:sz w:val="21"/>
                <w:szCs w:val="21"/>
              </w:rPr>
            </w:pPr>
            <w:r>
              <w:rPr>
                <w:sz w:val="21"/>
                <w:szCs w:val="21"/>
              </w:rPr>
              <w:t>5</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pPr>
              <w:pStyle w:val="31"/>
              <w:spacing w:before="198" w:line="331" w:lineRule="exact"/>
              <w:ind w:left="344"/>
              <w:rPr>
                <w:sz w:val="21"/>
                <w:szCs w:val="21"/>
              </w:rPr>
            </w:pPr>
            <w:r>
              <w:rPr>
                <w:spacing w:val="-6"/>
                <w:position w:val="2"/>
                <w:sz w:val="21"/>
                <w:szCs w:val="21"/>
              </w:rPr>
              <w:t>……</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bl>
    <w:p>
      <w:pPr>
        <w:pStyle w:val="2"/>
        <w:spacing w:line="252" w:lineRule="auto"/>
      </w:pPr>
    </w:p>
    <w:p>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pPr>
        <w:pStyle w:val="4"/>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pPr>
        <w:rPr>
          <w:rFonts w:hint="eastAsia"/>
          <w:lang w:val="en-US" w:eastAsia="zh-CN"/>
        </w:rPr>
      </w:pPr>
    </w:p>
    <w:tbl>
      <w:tblPr>
        <w:tblStyle w:val="19"/>
        <w:tblpPr w:leftFromText="180" w:rightFromText="180" w:vertAnchor="text" w:horzAnchor="page" w:tblpX="1617" w:tblpY="597"/>
        <w:tblOverlap w:val="never"/>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8"/>
        <w:gridCol w:w="1487"/>
        <w:gridCol w:w="1186"/>
        <w:gridCol w:w="1357"/>
        <w:gridCol w:w="1092"/>
        <w:gridCol w:w="919"/>
        <w:gridCol w:w="919"/>
        <w:gridCol w:w="24"/>
        <w:gridCol w:w="9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363"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default" w:asciiTheme="minorEastAsia" w:hAnsiTheme="minorEastAsia" w:eastAsiaTheme="minorEastAsia" w:cstheme="minorEastAsia"/>
                <w:kern w:val="2"/>
                <w:sz w:val="21"/>
                <w:szCs w:val="21"/>
                <w:highlight w:val="none"/>
                <w:lang w:val="en-US" w:eastAsia="zh-CN"/>
              </w:rPr>
              <w:t>序号</w:t>
            </w:r>
          </w:p>
        </w:tc>
        <w:tc>
          <w:tcPr>
            <w:tcW w:w="873"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施工项目</w:t>
            </w:r>
          </w:p>
        </w:tc>
        <w:tc>
          <w:tcPr>
            <w:tcW w:w="696"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 xml:space="preserve"> 单价（不含税，元/m）</w:t>
            </w:r>
          </w:p>
        </w:tc>
        <w:tc>
          <w:tcPr>
            <w:tcW w:w="795"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数量（m）</w:t>
            </w:r>
          </w:p>
        </w:tc>
        <w:tc>
          <w:tcPr>
            <w:tcW w:w="641"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总价（元）</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不含税</w:t>
            </w:r>
          </w:p>
        </w:tc>
        <w:tc>
          <w:tcPr>
            <w:tcW w:w="53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税率</w:t>
            </w:r>
          </w:p>
        </w:tc>
        <w:tc>
          <w:tcPr>
            <w:tcW w:w="53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总价（元）</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含税</w:t>
            </w:r>
          </w:p>
        </w:tc>
        <w:tc>
          <w:tcPr>
            <w:tcW w:w="550" w:type="pct"/>
            <w:gridSpan w:val="2"/>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363"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1</w:t>
            </w:r>
          </w:p>
        </w:tc>
        <w:tc>
          <w:tcPr>
            <w:tcW w:w="873"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扩缝灌缝</w:t>
            </w:r>
          </w:p>
        </w:tc>
        <w:tc>
          <w:tcPr>
            <w:tcW w:w="696"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795"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50000</w:t>
            </w:r>
          </w:p>
        </w:tc>
        <w:tc>
          <w:tcPr>
            <w:tcW w:w="641"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53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53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550" w:type="pct"/>
            <w:gridSpan w:val="2"/>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363"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2</w:t>
            </w:r>
          </w:p>
        </w:tc>
        <w:tc>
          <w:tcPr>
            <w:tcW w:w="873"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清缝灌缝</w:t>
            </w:r>
          </w:p>
        </w:tc>
        <w:tc>
          <w:tcPr>
            <w:tcW w:w="696"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795"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150000</w:t>
            </w:r>
          </w:p>
        </w:tc>
        <w:tc>
          <w:tcPr>
            <w:tcW w:w="641"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53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53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550" w:type="pct"/>
            <w:gridSpan w:val="2"/>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2728" w:type="pct"/>
            <w:gridSpan w:val="4"/>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合计</w:t>
            </w:r>
          </w:p>
        </w:tc>
        <w:tc>
          <w:tcPr>
            <w:tcW w:w="641"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53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53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550" w:type="pct"/>
            <w:gridSpan w:val="2"/>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4461" w:type="pct"/>
            <w:gridSpan w:val="8"/>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注：最终结算数量以实际完成合格工程量为准</w:t>
            </w:r>
          </w:p>
        </w:tc>
        <w:tc>
          <w:tcPr>
            <w:tcW w:w="538"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p>
        </w:tc>
      </w:tr>
    </w:tbl>
    <w:p>
      <w:pP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pPr>
        <w:pStyle w:val="4"/>
        <w:jc w:val="center"/>
        <w:rPr>
          <w:rFonts w:hint="eastAsia"/>
        </w:rPr>
      </w:pPr>
      <w:bookmarkStart w:id="284" w:name="_Toc144974864"/>
      <w:bookmarkStart w:id="285" w:name="_Toc152045796"/>
      <w:bookmarkStart w:id="286" w:name="_Toc300835221"/>
      <w:bookmarkStart w:id="287" w:name="_Toc152042585"/>
      <w:bookmarkStart w:id="288" w:name="_Toc247527836"/>
      <w:bookmarkStart w:id="289" w:name="_Toc247514288"/>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pPr>
        <w:spacing w:before="53"/>
        <w:jc w:val="center"/>
        <w:rPr>
          <w:rFonts w:hint="eastAsia"/>
          <w:b/>
          <w:bCs/>
          <w:color w:val="FF0000"/>
          <w:lang w:val="en-US" w:eastAsia="zh-CN"/>
        </w:rPr>
      </w:pPr>
      <w:bookmarkStart w:id="291" w:name="_Toc246997116"/>
      <w:bookmarkStart w:id="292" w:name="_Toc247085891"/>
      <w:bookmarkStart w:id="293" w:name="_Toc246996373"/>
      <w:bookmarkStart w:id="294" w:name="_Toc179632828"/>
      <w:bookmarkStart w:id="295" w:name="_Toc296602618"/>
      <w:r>
        <w:rPr>
          <w:rFonts w:hint="eastAsia"/>
          <w:b/>
          <w:bCs/>
          <w:color w:val="FF0000"/>
          <w:lang w:val="en-US" w:eastAsia="zh-CN"/>
        </w:rPr>
        <w:t>（注：供应商根据询比公告/邀请书要求按需填写，如无要求，可不填写。）</w:t>
      </w:r>
    </w:p>
    <w:p>
      <w:pPr>
        <w:pStyle w:val="5"/>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5"/>
        <w:jc w:val="both"/>
      </w:pPr>
      <w:bookmarkStart w:id="296" w:name="_Toc247085888"/>
      <w:bookmarkStart w:id="297" w:name="_Toc246996370"/>
      <w:bookmarkStart w:id="298" w:name="_Toc296602615"/>
      <w:bookmarkStart w:id="299" w:name="_Toc246997113"/>
      <w:bookmarkStart w:id="300" w:name="_Toc247514302"/>
      <w:bookmarkStart w:id="301" w:name="_Toc300835226"/>
      <w:bookmarkStart w:id="302" w:name="_Toc152045810"/>
      <w:bookmarkStart w:id="303" w:name="_Toc144974878"/>
      <w:bookmarkStart w:id="304" w:name="_Toc152042599"/>
      <w:bookmarkStart w:id="305" w:name="_Toc247527850"/>
      <w:r>
        <w:t>（</w:t>
      </w:r>
      <w:r>
        <w:rPr>
          <w:rFonts w:hint="eastAsia"/>
          <w:lang w:val="en-US" w:eastAsia="zh-CN"/>
        </w:rPr>
        <w:t>二</w:t>
      </w:r>
      <w:r>
        <w:t>）项目管理机构组成表</w:t>
      </w:r>
      <w:bookmarkEnd w:id="296"/>
      <w:bookmarkEnd w:id="297"/>
      <w:bookmarkEnd w:id="298"/>
      <w:bookmarkEnd w:id="299"/>
    </w:p>
    <w:p>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5"/>
        <w:jc w:val="both"/>
        <w:rPr>
          <w:rFonts w:eastAsia="黑体"/>
          <w:sz w:val="23"/>
          <w:szCs w:val="23"/>
        </w:rPr>
      </w:pPr>
      <w:bookmarkStart w:id="306" w:name="_Toc247085889"/>
      <w:bookmarkStart w:id="307" w:name="_Toc246997114"/>
      <w:bookmarkStart w:id="308" w:name="_Toc296602616"/>
      <w:bookmarkStart w:id="309" w:name="_Toc246996371"/>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310" w:name="_Toc152042600"/>
      <w:bookmarkStart w:id="311" w:name="_Toc247514303"/>
      <w:bookmarkStart w:id="312" w:name="_Toc152045811"/>
      <w:bookmarkStart w:id="313" w:name="_Toc144974879"/>
      <w:bookmarkStart w:id="314" w:name="_Toc247527851"/>
    </w:p>
    <w:p>
      <w:pPr>
        <w:spacing w:line="440" w:lineRule="exact"/>
        <w:rPr>
          <w:rFonts w:hint="default" w:ascii="Times New Roman" w:hAnsi="Times New Roman" w:cs="Times New Roman"/>
        </w:rPr>
      </w:pPr>
    </w:p>
    <w:bookmarkEnd w:id="310"/>
    <w:bookmarkEnd w:id="311"/>
    <w:bookmarkEnd w:id="312"/>
    <w:bookmarkEnd w:id="313"/>
    <w:bookmarkEnd w:id="314"/>
    <w:p>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pPr>
        <w:tabs>
          <w:tab w:val="left" w:pos="720"/>
        </w:tabs>
        <w:spacing w:line="440" w:lineRule="exact"/>
        <w:ind w:firstLine="756" w:firstLineChars="360"/>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br w:type="page"/>
      </w:r>
    </w:p>
    <w:bookmarkEnd w:id="290"/>
    <w:p>
      <w:pPr>
        <w:pStyle w:val="5"/>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247514305"/>
      <w:bookmarkStart w:id="316" w:name="_Toc152045813"/>
      <w:bookmarkStart w:id="317" w:name="_Toc152042602"/>
      <w:bookmarkStart w:id="318" w:name="_Toc247530162"/>
      <w:bookmarkStart w:id="319" w:name="_Toc144974881"/>
      <w:bookmarkStart w:id="320" w:name="_Toc247527853"/>
    </w:p>
    <w:bookmarkEnd w:id="315"/>
    <w:bookmarkEnd w:id="316"/>
    <w:bookmarkEnd w:id="317"/>
    <w:bookmarkEnd w:id="318"/>
    <w:bookmarkEnd w:id="319"/>
    <w:bookmarkEnd w:id="320"/>
    <w:p>
      <w:pPr>
        <w:pStyle w:val="4"/>
        <w:jc w:val="center"/>
        <w:rPr>
          <w:rFonts w:hint="default" w:ascii="Times New Roman" w:hAnsi="Times New Roman" w:cs="Times New Roman"/>
        </w:rPr>
      </w:pPr>
      <w:bookmarkStart w:id="321" w:name="_Toc300835233"/>
      <w:bookmarkStart w:id="32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0B1D2B87-97D9-4A5E-8801-55F80BB1D0B0}"/>
  </w:font>
  <w:font w:name="Arial">
    <w:panose1 w:val="020B0604020202020204"/>
    <w:charset w:val="01"/>
    <w:family w:val="swiss"/>
    <w:pitch w:val="default"/>
    <w:sig w:usb0="E0002EFF" w:usb1="C000785B" w:usb2="00000009" w:usb3="00000000" w:csb0="400001FF" w:csb1="FFFF0000"/>
    <w:embedRegular r:id="rId2" w:fontKey="{F1DB6536-95CE-4F6C-A399-49F63DAA0530}"/>
  </w:font>
  <w:font w:name="黑体">
    <w:panose1 w:val="02010609060101010101"/>
    <w:charset w:val="86"/>
    <w:family w:val="auto"/>
    <w:pitch w:val="default"/>
    <w:sig w:usb0="800002BF" w:usb1="38CF7CFA" w:usb2="00000016" w:usb3="00000000" w:csb0="00040001" w:csb1="00000000"/>
    <w:embedRegular r:id="rId3" w:fontKey="{EC7AC8DE-E7BB-473B-ACD4-451925D9B86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7FA254D8-D89A-41CF-9EE3-B1519F6DB4C3}"/>
  </w:font>
  <w:font w:name="仿宋_GB2312">
    <w:panose1 w:val="02010609030101010101"/>
    <w:charset w:val="86"/>
    <w:family w:val="modern"/>
    <w:pitch w:val="default"/>
    <w:sig w:usb0="00000001" w:usb1="080E0000" w:usb2="00000000" w:usb3="00000000" w:csb0="00040000" w:csb1="00000000"/>
    <w:embedRegular r:id="rId5" w:fontKey="{CEDDA2A1-64FF-4E89-8DAA-358D285E1B86}"/>
  </w:font>
  <w:font w:name="楷体">
    <w:panose1 w:val="02010609060101010101"/>
    <w:charset w:val="86"/>
    <w:family w:val="auto"/>
    <w:pitch w:val="default"/>
    <w:sig w:usb0="800002BF" w:usb1="38CF7CFA" w:usb2="00000016" w:usb3="00000000" w:csb0="00040001" w:csb1="00000000"/>
    <w:embedRegular r:id="rId6" w:fontKey="{11B93350-015C-464C-9A23-9B3D487C2219}"/>
  </w:font>
  <w:font w:name="Wingdings 2">
    <w:panose1 w:val="05020102010507070707"/>
    <w:charset w:val="00"/>
    <w:family w:val="auto"/>
    <w:pitch w:val="default"/>
    <w:sig w:usb0="00000000" w:usb1="00000000" w:usb2="00000000" w:usb3="00000000" w:csb0="80000000" w:csb1="00000000"/>
    <w:embedRegular r:id="rId7" w:fontKey="{DC082F5B-9A3D-43C6-A2F4-F632CA325644}"/>
  </w:font>
  <w:font w:name="方正仿宋_GB2312">
    <w:panose1 w:val="02000000000000000000"/>
    <w:charset w:val="86"/>
    <w:family w:val="auto"/>
    <w:pitch w:val="default"/>
    <w:sig w:usb0="A00002BF" w:usb1="184F6CFA" w:usb2="00000012" w:usb3="00000000" w:csb0="00040001" w:csb1="00000000"/>
    <w:embedRegular r:id="rId8" w:fontKey="{A7D57505-28B2-4817-BA3F-E1422A07B556}"/>
  </w:font>
  <w:font w:name="方正小标宋简体">
    <w:panose1 w:val="02000000000000000000"/>
    <w:charset w:val="86"/>
    <w:family w:val="auto"/>
    <w:pitch w:val="default"/>
    <w:sig w:usb0="00000001" w:usb1="08000000" w:usb2="00000000" w:usb3="00000000" w:csb0="00040000" w:csb1="00000000"/>
    <w:embedRegular r:id="rId9" w:fontKey="{BC166BC1-2C69-4178-B76F-62DFC74A30BC}"/>
  </w:font>
  <w:font w:name="仿宋">
    <w:panose1 w:val="02010609060101010101"/>
    <w:charset w:val="86"/>
    <w:family w:val="modern"/>
    <w:pitch w:val="default"/>
    <w:sig w:usb0="800002BF" w:usb1="38CF7CFA" w:usb2="00000016" w:usb3="00000000" w:csb0="00040001" w:csb1="00000000"/>
    <w:embedRegular r:id="rId10" w:fontKey="{4F2CB128-7F4B-450D-8640-1140B966D37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4FF2A7D"/>
    <w:rsid w:val="050252F6"/>
    <w:rsid w:val="05045FA7"/>
    <w:rsid w:val="05121531"/>
    <w:rsid w:val="0541752E"/>
    <w:rsid w:val="055625ED"/>
    <w:rsid w:val="05625696"/>
    <w:rsid w:val="0572490A"/>
    <w:rsid w:val="057E3D65"/>
    <w:rsid w:val="058253F2"/>
    <w:rsid w:val="05837C10"/>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5C4B4C"/>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8E2249"/>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1F1B30"/>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1B6295"/>
    <w:rsid w:val="173043C7"/>
    <w:rsid w:val="174F6F43"/>
    <w:rsid w:val="17591B70"/>
    <w:rsid w:val="17600C81"/>
    <w:rsid w:val="176115DC"/>
    <w:rsid w:val="176D7525"/>
    <w:rsid w:val="176D77B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276AA6"/>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CC6127"/>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04215E"/>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17CFC"/>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7FE159B"/>
    <w:rsid w:val="581A61D6"/>
    <w:rsid w:val="582028C2"/>
    <w:rsid w:val="5823308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0D1834"/>
    <w:rsid w:val="751A59DC"/>
    <w:rsid w:val="752F51BD"/>
    <w:rsid w:val="753136E7"/>
    <w:rsid w:val="75326EC3"/>
    <w:rsid w:val="75461F61"/>
    <w:rsid w:val="75474A77"/>
    <w:rsid w:val="754B57C9"/>
    <w:rsid w:val="754D7793"/>
    <w:rsid w:val="754E24C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szCs w:val="20"/>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2"/>
    <w:qFormat/>
    <w:uiPriority w:val="0"/>
    <w:pPr>
      <w:ind w:firstLine="420" w:firstLineChars="100"/>
    </w:pPr>
  </w:style>
  <w:style w:type="paragraph" w:styleId="17">
    <w:name w:val="Body Text First Indent 2"/>
    <w:basedOn w:val="8"/>
    <w:next w:val="1"/>
    <w:unhideWhenUsed/>
    <w:qFormat/>
    <w:uiPriority w:val="0"/>
    <w:pPr>
      <w:ind w:firstLine="42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16001</Words>
  <Characters>17085</Characters>
  <Lines>0</Lines>
  <Paragraphs>0</Paragraphs>
  <TotalTime>1</TotalTime>
  <ScaleCrop>false</ScaleCrop>
  <LinksUpToDate>false</LinksUpToDate>
  <CharactersWithSpaces>18274</CharactersWithSpaces>
  <Application>WPS Office_11.1.0.12371_F1E327BC-269C-435d-A152-05C5408002CA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亦旧.</cp:lastModifiedBy>
  <cp:lastPrinted>2025-07-03T03:22:00Z</cp:lastPrinted>
  <dcterms:modified xsi:type="dcterms:W3CDTF">2025-07-07T00:46:26Z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2052-11.1.0.12371</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