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B39006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b w:val="0"/>
          <w:bCs w:val="0"/>
          <w:color w:val="auto"/>
          <w:sz w:val="28"/>
          <w:szCs w:val="28"/>
          <w:highlight w:val="none"/>
          <w:u w:val="single"/>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w:t>
      </w:r>
      <w:r>
        <w:rPr>
          <w:rFonts w:hint="eastAsia" w:ascii="Times New Roman" w:hAnsi="Times New Roman" w:eastAsia="黑体" w:cs="Times New Roman"/>
          <w:b w:val="0"/>
          <w:bCs w:val="0"/>
          <w:color w:val="auto"/>
          <w:sz w:val="28"/>
          <w:szCs w:val="28"/>
          <w:highlight w:val="none"/>
          <w:u w:val="single"/>
          <w:lang w:val="en-US" w:eastAsia="zh-CN"/>
        </w:rPr>
        <w:t>亳州市城市重点区域交通补短板项目-魏武大道（古泉路-北一环路）、州后街（新华路-魏武大道）、薛阁路（三曹路-魏武大道）、涡阳路（利辛路-和平路）、新华北路（和平路-香附路）</w:t>
      </w:r>
    </w:p>
    <w:p w14:paraId="30AD81A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b w:val="0"/>
          <w:bCs w:val="0"/>
          <w:color w:val="auto"/>
          <w:kern w:val="0"/>
          <w:sz w:val="72"/>
          <w:szCs w:val="72"/>
          <w:highlight w:val="none"/>
          <w:lang w:val="en-US" w:eastAsia="zh-CN"/>
          <w14:textFill>
            <w14:noFill/>
          </w14:textFill>
        </w:rPr>
      </w:pPr>
      <w:r>
        <w:rPr>
          <w:rFonts w:hint="eastAsia" w:ascii="Times New Roman" w:hAnsi="Times New Roman" w:eastAsia="黑体" w:cs="Times New Roman"/>
          <w:b w:val="0"/>
          <w:bCs w:val="0"/>
          <w:color w:val="auto"/>
          <w:sz w:val="28"/>
          <w:szCs w:val="28"/>
          <w:highlight w:val="none"/>
          <w:u w:val="single"/>
          <w:lang w:val="en-US" w:eastAsia="zh-CN"/>
        </w:rPr>
        <w:t>质量检测项目</w:t>
      </w:r>
    </w:p>
    <w:permEnd w:id="0"/>
    <w:p w14:paraId="3DB1574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BZJK-2025-033 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 亳州交控产业发展有限公司 </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2025年 07 </w:t>
      </w:r>
      <w:r>
        <w:rPr>
          <w:rFonts w:hint="eastAsia" w:ascii="Times New Roman" w:hAnsi="Times New Roman" w:eastAsia="楷体" w:cs="Times New Roman"/>
          <w:kern w:val="0"/>
          <w:sz w:val="32"/>
          <w:szCs w:val="32"/>
          <w:highlight w:val="none"/>
          <w:u w:val="none"/>
          <w:shd w:val="clear" w:color="auto" w:fill="auto"/>
          <w:lang w:val="en-US" w:eastAsia="zh-CN"/>
        </w:rPr>
        <w:t>月9日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38</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u w:val="none"/>
          <w:lang w:val="en-US" w:eastAsia="zh-CN"/>
        </w:rPr>
      </w:pPr>
      <w:permStart w:id="4" w:edGrp="everyone"/>
      <w:r>
        <w:rPr>
          <w:rFonts w:hint="eastAsia" w:ascii="Times New Roman" w:hAnsi="Times New Roman" w:eastAsia="黑体" w:cs="Times New Roman"/>
          <w:sz w:val="28"/>
          <w:szCs w:val="28"/>
          <w:highlight w:val="none"/>
          <w:u w:val="none"/>
          <w:lang w:val="en-US" w:eastAsia="zh-CN"/>
        </w:rPr>
        <w:t xml:space="preserve"> 亳州市城市重点区域交通补短板项目-魏武大道（古泉路-北一环路）、州后街（新华路-魏武大道）、薛阁路（三曹路-魏武大道）、涡阳路（利辛路-和平路）、新华北路（和平路-香附路）质量检测项目询比公告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96602410"/>
      <w:bookmarkStart w:id="2" w:name="_Toc152045519"/>
      <w:bookmarkStart w:id="3" w:name="_Toc152042295"/>
      <w:bookmarkStart w:id="4" w:name="_Toc246996909"/>
      <w:bookmarkStart w:id="5" w:name="_Toc247085680"/>
      <w:bookmarkStart w:id="6" w:name="_Toc179632536"/>
      <w:bookmarkStart w:id="7" w:name="_Toc144974487"/>
      <w:r>
        <w:rPr>
          <w:rFonts w:hint="eastAsia" w:ascii="宋体" w:hAnsi="宋体" w:eastAsia="宋体" w:cs="宋体"/>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亳州市城市重点区域交通补短板项目-魏武大道（古泉路-北一环路）、州后街（新华路-魏武大道）、薛阁路（三曹路-魏武大道）、涡阳路（利辛路-和平路）、新华北路（和平路-香附路）质量检测项目</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96602411"/>
      <w:bookmarkStart w:id="9" w:name="_Toc179632537"/>
      <w:bookmarkStart w:id="10" w:name="_Toc246996910"/>
      <w:bookmarkStart w:id="11" w:name="_Toc152045520"/>
      <w:bookmarkStart w:id="12" w:name="_Toc246996167"/>
      <w:bookmarkStart w:id="13" w:name="_Toc247085681"/>
      <w:bookmarkStart w:id="14" w:name="_Toc152042296"/>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亳州市城市重点区域交通补短板项目-魏武大道（古泉路-北一环路）、州后街（新华路-魏武大道）、薛阁路（三曹路-魏武大道）、涡阳路（利辛路-和平路）、新华北路（和平路-香附路）质量检测项目</w:t>
      </w:r>
      <w:r>
        <w:rPr>
          <w:rFonts w:hint="eastAsia" w:asciiTheme="minorEastAsia" w:hAnsiTheme="minorEastAsia" w:eastAsiaTheme="minorEastAsia" w:cstheme="minorEastAsia"/>
          <w:sz w:val="28"/>
          <w:szCs w:val="28"/>
          <w:highlight w:val="none"/>
          <w:lang w:val="en-US" w:eastAsia="zh-CN"/>
        </w:rPr>
        <w:t xml:space="preserve"> </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BZJK-2025-033号 </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亳州交控产业发展有限公司</w:t>
      </w:r>
      <w:r>
        <w:rPr>
          <w:rFonts w:hint="eastAsia" w:asciiTheme="minorEastAsia" w:hAnsiTheme="minorEastAsia" w:cstheme="minorEastAsia"/>
          <w:color w:val="FF0000"/>
          <w:sz w:val="28"/>
          <w:szCs w:val="28"/>
          <w:highlight w:val="none"/>
          <w:lang w:val="en-US" w:eastAsia="zh-CN"/>
        </w:rPr>
        <w:t xml:space="preserve"> </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u w:val="none"/>
          <w:lang w:val="en-US" w:eastAsia="zh-CN"/>
        </w:rPr>
        <w:t xml:space="preserve"> </w:t>
      </w:r>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8"/>
    </w:p>
    <w:p w14:paraId="2103456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最高限价</w:t>
      </w:r>
      <w:permStart w:id="9" w:edGrp="everyone"/>
      <w:r>
        <w:rPr>
          <w:rFonts w:hint="eastAsia" w:asciiTheme="minorEastAsia" w:hAnsiTheme="minorEastAsia" w:cstheme="minorEastAsia"/>
          <w:color w:val="FF0000"/>
          <w:sz w:val="28"/>
          <w:szCs w:val="28"/>
          <w:highlight w:val="none"/>
          <w:lang w:val="en-US" w:eastAsia="zh-CN"/>
        </w:rPr>
        <w:t>（含税：6%）</w:t>
      </w:r>
      <w:permEnd w:id="9"/>
      <w:r>
        <w:rPr>
          <w:rFonts w:hint="eastAsia" w:asciiTheme="minorEastAsia" w:hAnsiTheme="minorEastAsia" w:cstheme="minorEastAsia"/>
          <w:color w:val="FF0000"/>
          <w:sz w:val="28"/>
          <w:szCs w:val="28"/>
          <w:highlight w:val="none"/>
          <w:lang w:val="en-US" w:eastAsia="zh-CN"/>
        </w:rPr>
        <w:t>：</w:t>
      </w:r>
      <w:permStart w:id="10" w:edGrp="everyone"/>
      <w:r>
        <w:rPr>
          <w:rFonts w:hint="eastAsia" w:asciiTheme="minorEastAsia" w:hAnsiTheme="minorEastAsia" w:cstheme="minorEastAsia"/>
          <w:color w:val="FF0000"/>
          <w:sz w:val="28"/>
          <w:szCs w:val="28"/>
          <w:highlight w:val="none"/>
          <w:lang w:val="en-US" w:eastAsia="zh-CN"/>
        </w:rPr>
        <w:t>收费标准的50%</w:t>
      </w:r>
      <w:permEnd w:id="10"/>
      <w:r>
        <w:rPr>
          <w:rFonts w:hint="eastAsia" w:asciiTheme="minorEastAsia" w:hAnsiTheme="minorEastAsia" w:cstheme="minorEastAsia"/>
          <w:color w:val="FF0000"/>
          <w:sz w:val="28"/>
          <w:szCs w:val="28"/>
          <w:highlight w:val="none"/>
          <w:lang w:val="en-US" w:eastAsia="zh-CN"/>
        </w:rPr>
        <w:t>，按</w:t>
      </w:r>
      <w:permStart w:id="11" w:edGrp="everyone"/>
      <w:r>
        <w:rPr>
          <w:rFonts w:hint="eastAsia" w:asciiTheme="minorEastAsia" w:hAnsiTheme="minorEastAsia" w:cstheme="minorEastAsia"/>
          <w:color w:val="FF0000"/>
          <w:sz w:val="28"/>
          <w:szCs w:val="28"/>
          <w:highlight w:val="none"/>
          <w:lang w:val="en-US" w:eastAsia="zh-CN"/>
        </w:rPr>
        <w:t>费率</w:t>
      </w:r>
      <w:permEnd w:id="11"/>
      <w:r>
        <w:rPr>
          <w:rFonts w:hint="eastAsia" w:asciiTheme="minorEastAsia" w:hAnsiTheme="minorEastAsia" w:cstheme="minorEastAsia"/>
          <w:color w:val="FF0000"/>
          <w:sz w:val="28"/>
          <w:szCs w:val="28"/>
          <w:highlight w:val="none"/>
          <w:lang w:val="en-US" w:eastAsia="zh-CN"/>
        </w:rPr>
        <w:t>报价，最终结算总检测费用不超过80万元。</w:t>
      </w:r>
    </w:p>
    <w:p w14:paraId="71E25E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 xml:space="preserve">收费标准选用先后顺序为： </w:t>
      </w:r>
    </w:p>
    <w:p w14:paraId="2A54B3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①《</w:t>
      </w:r>
      <w:r>
        <w:rPr>
          <w:rFonts w:hint="eastAsia" w:asciiTheme="minorEastAsia" w:hAnsiTheme="minorEastAsia" w:cstheme="minorEastAsia"/>
          <w:sz w:val="28"/>
          <w:szCs w:val="28"/>
          <w:highlight w:val="none"/>
          <w:lang w:val="en-US" w:eastAsia="zh-CN"/>
        </w:rPr>
        <w:t>安</w:t>
      </w:r>
      <w:r>
        <w:rPr>
          <w:rFonts w:hint="default" w:asciiTheme="minorEastAsia" w:hAnsiTheme="minorEastAsia" w:cstheme="minorEastAsia"/>
          <w:sz w:val="28"/>
          <w:szCs w:val="28"/>
          <w:highlight w:val="none"/>
          <w:lang w:val="en-US" w:eastAsia="zh-CN"/>
        </w:rPr>
        <w:t xml:space="preserve">徽省建设工程质量检测收费行业指导价》建质安协（2019）16号 </w:t>
      </w:r>
      <w:r>
        <w:rPr>
          <w:rFonts w:hint="eastAsia" w:asciiTheme="minorEastAsia" w:hAnsiTheme="minorEastAsia" w:cstheme="minorEastAsia"/>
          <w:sz w:val="28"/>
          <w:szCs w:val="28"/>
          <w:highlight w:val="none"/>
          <w:lang w:val="en-US" w:eastAsia="zh-CN"/>
        </w:rPr>
        <w:t>；</w:t>
      </w:r>
    </w:p>
    <w:p w14:paraId="748D20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②</w:t>
      </w:r>
      <w:r>
        <w:rPr>
          <w:rFonts w:hint="eastAsia" w:asciiTheme="minorEastAsia" w:hAnsiTheme="minorEastAsia" w:cstheme="minorEastAsia"/>
          <w:sz w:val="28"/>
          <w:szCs w:val="28"/>
          <w:highlight w:val="none"/>
          <w:lang w:val="en-US" w:eastAsia="zh-CN"/>
        </w:rPr>
        <w:t xml:space="preserve">上述文件内没有的检测项目，以委托人询价结果乘以成交费率为准。  </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报价超出限价或</w:t>
      </w:r>
      <w:r>
        <w:rPr>
          <w:rFonts w:hint="eastAsia" w:asciiTheme="minorEastAsia" w:hAnsiTheme="minorEastAsia" w:cstheme="minorEastAsia"/>
          <w:sz w:val="28"/>
          <w:szCs w:val="28"/>
          <w:highlight w:val="none"/>
          <w:lang w:val="en-US" w:eastAsia="zh-CN"/>
        </w:rPr>
        <w:t>为可能影响合同履约的异常低价的</w:t>
      </w:r>
      <w:r>
        <w:rPr>
          <w:rFonts w:hint="eastAsia" w:asciiTheme="minorEastAsia" w:hAnsiTheme="minorEastAsia" w:eastAsiaTheme="minorEastAsia" w:cstheme="minorEastAsia"/>
          <w:sz w:val="28"/>
          <w:szCs w:val="28"/>
          <w:highlight w:val="none"/>
          <w:lang w:val="en-US" w:eastAsia="zh-CN"/>
        </w:rPr>
        <w:t>，按无效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r>
        <w:rPr>
          <w:rFonts w:hint="default" w:ascii="Times New Roman" w:hAnsi="Times New Roman" w:eastAsia="仿宋_GB2312" w:cs="Times New Roman"/>
          <w:sz w:val="28"/>
          <w:szCs w:val="28"/>
          <w:highlight w:val="none"/>
          <w:lang w:val="en-US" w:eastAsia="zh-CN"/>
        </w:rPr>
        <w:tab/>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63460BC5">
      <w:pPr>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jc w:val="both"/>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2"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城市重点区域交通补短板项目-魏武大道（古泉路-北一环路）、州后街（新华路-魏武大道）、薛阁路（三曹路-魏武大道）、涡阳路（利辛路-和平路）、新华北路（和平路-香附路）质量检测项目，其中魏武大道（古泉路-北一环路）道路等级为为城市主干路，长2300m、宽60m；州后街（新华路-魏武大道）道路等级为城市支路，长698m、宽20m；薛阁路（三曹路-魏武大道）道路等级为城市支路，长777m、宽14m；涡阳路（利辛路-和平路）道路等级为城市次干路，长1200m、宽24m；新华北路（和平路-香附路）道路等级为城市主干路，长1900m、宽40m；更新改造工程五个项目，需要单独办理相关手续和资料，建设总投资约8100万元。</w:t>
      </w:r>
      <w:permEnd w:id="12"/>
    </w:p>
    <w:p w14:paraId="10D32F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工程</w:t>
      </w:r>
      <w:r>
        <w:rPr>
          <w:rFonts w:hint="eastAsia" w:asciiTheme="minorEastAsia" w:hAnsiTheme="minorEastAsia" w:eastAsiaTheme="minorEastAsia" w:cstheme="minorEastAsia"/>
          <w:sz w:val="28"/>
          <w:szCs w:val="28"/>
          <w:highlight w:val="none"/>
          <w:lang w:val="en-US" w:eastAsia="zh-CN"/>
        </w:rPr>
        <w:t>质量检测</w:t>
      </w:r>
      <w:r>
        <w:rPr>
          <w:rFonts w:hint="eastAsia" w:asciiTheme="minorEastAsia" w:hAnsiTheme="minorEastAsia" w:cstheme="minorEastAsia"/>
          <w:sz w:val="28"/>
          <w:szCs w:val="28"/>
          <w:highlight w:val="none"/>
          <w:lang w:val="en-US" w:eastAsia="zh-CN"/>
        </w:rPr>
        <w:t>范围包括但不限于：</w:t>
      </w:r>
      <w:r>
        <w:rPr>
          <w:rFonts w:hint="default" w:asciiTheme="minorEastAsia" w:hAnsiTheme="minorEastAsia" w:eastAsiaTheme="minorEastAsia" w:cstheme="minorEastAsia"/>
          <w:sz w:val="28"/>
          <w:szCs w:val="28"/>
          <w:highlight w:val="none"/>
          <w:lang w:val="en-US" w:eastAsia="zh-CN"/>
        </w:rPr>
        <w:t>负责</w:t>
      </w:r>
      <w:r>
        <w:rPr>
          <w:rFonts w:hint="eastAsia" w:asciiTheme="minorEastAsia" w:hAnsiTheme="minorEastAsia" w:eastAsiaTheme="minorEastAsia" w:cstheme="minorEastAsia"/>
          <w:sz w:val="28"/>
          <w:szCs w:val="28"/>
          <w:highlight w:val="none"/>
          <w:lang w:val="en-US" w:eastAsia="zh-CN"/>
        </w:rPr>
        <w:t>本</w:t>
      </w:r>
      <w:r>
        <w:rPr>
          <w:rFonts w:hint="default" w:asciiTheme="minorEastAsia" w:hAnsiTheme="minorEastAsia" w:eastAsia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路基、路面、排水、人行道、绿化、交通安全设施等工程施工准备阶段、施工阶段、缺陷责任期阶段的过程检测等</w:t>
      </w:r>
      <w:r>
        <w:rPr>
          <w:rFonts w:hint="eastAsia" w:asciiTheme="minorEastAsia" w:hAnsiTheme="minorEastAsia" w:cstheme="minorEastAsia"/>
          <w:sz w:val="28"/>
          <w:szCs w:val="28"/>
          <w:highlight w:val="none"/>
          <w:lang w:val="en-US" w:eastAsia="zh-CN"/>
        </w:rPr>
        <w:t>，以及</w:t>
      </w:r>
      <w:r>
        <w:rPr>
          <w:rFonts w:hint="default" w:asciiTheme="minorEastAsia" w:hAnsiTheme="minorEastAsia" w:eastAsiaTheme="minorEastAsia" w:cstheme="minorEastAsia"/>
          <w:sz w:val="28"/>
          <w:szCs w:val="28"/>
          <w:highlight w:val="none"/>
          <w:lang w:val="en-US" w:eastAsia="zh-CN"/>
        </w:rPr>
        <w:t>建设单位要求</w:t>
      </w:r>
      <w:r>
        <w:rPr>
          <w:rFonts w:hint="eastAsia" w:asciiTheme="minorEastAsia" w:hAnsiTheme="minorEastAsia" w:cstheme="minorEastAsia"/>
          <w:sz w:val="28"/>
          <w:szCs w:val="28"/>
          <w:highlight w:val="none"/>
          <w:lang w:val="en-US" w:eastAsia="zh-CN"/>
        </w:rPr>
        <w:t>的其他检测项目</w:t>
      </w:r>
      <w:r>
        <w:rPr>
          <w:rFonts w:hint="eastAsia" w:asciiTheme="minorEastAsia" w:hAnsiTheme="minorEastAsia" w:eastAsiaTheme="minorEastAsia" w:cstheme="minorEastAsia"/>
          <w:sz w:val="28"/>
          <w:szCs w:val="28"/>
          <w:highlight w:val="none"/>
          <w:lang w:val="en-US" w:eastAsia="zh-CN"/>
        </w:rPr>
        <w:t>；供应商按检测规范和</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文件要求的内容进行检测</w:t>
      </w:r>
      <w:r>
        <w:rPr>
          <w:rFonts w:hint="eastAsia" w:asciiTheme="minorEastAsia" w:hAnsiTheme="minorEastAsia" w:cstheme="minorEastAsia"/>
          <w:sz w:val="28"/>
          <w:szCs w:val="28"/>
          <w:highlight w:val="none"/>
          <w:lang w:val="en-US" w:eastAsia="zh-CN"/>
        </w:rPr>
        <w:t>。</w:t>
      </w:r>
    </w:p>
    <w:permEnd w:id="13"/>
    <w:p w14:paraId="4F4CF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（三）服务期限</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自合同签订之日起910日历天（含施工期和缺陷责任期），具体以实际完成项目检测及交竣工验收等工作</w:t>
      </w:r>
      <w:r>
        <w:rPr>
          <w:rFonts w:hint="eastAsia" w:asciiTheme="minorEastAsia" w:hAnsiTheme="minorEastAsia" w:cstheme="minorEastAsia"/>
          <w:sz w:val="28"/>
          <w:szCs w:val="28"/>
          <w:highlight w:val="none"/>
          <w:lang w:val="en-US" w:eastAsia="zh-CN"/>
        </w:rPr>
        <w:t>为准；</w:t>
      </w:r>
      <w:r>
        <w:rPr>
          <w:rFonts w:hint="eastAsia" w:asciiTheme="minorEastAsia" w:hAnsiTheme="minorEastAsia" w:eastAsiaTheme="minorEastAsia" w:cstheme="minorEastAsia"/>
          <w:sz w:val="28"/>
          <w:szCs w:val="28"/>
          <w:highlight w:val="none"/>
          <w:lang w:val="en-US" w:eastAsia="zh-CN"/>
        </w:rPr>
        <w:t>分为</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条道路分别进行质量检测，具体检测时间以</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根据现场实际情况要求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进场检测</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4"/>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安徽省亳州市魏武大道（古泉路-北一环路）、州后街（新华路-魏武大道）、薛阁路（</w:t>
      </w:r>
      <w:r>
        <w:rPr>
          <w:rFonts w:hint="eastAsia" w:asciiTheme="minorEastAsia" w:hAnsiTheme="minorEastAsia" w:cstheme="minorEastAsia"/>
          <w:sz w:val="28"/>
          <w:szCs w:val="28"/>
          <w:highlight w:val="none"/>
          <w:lang w:val="en-US" w:eastAsia="zh-CN"/>
        </w:rPr>
        <w:t>三曹路-魏武大道</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、涡阳路（利辛路-和平路）、新华北路（和平路-香附路）</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FF0000"/>
          <w:sz w:val="28"/>
          <w:szCs w:val="28"/>
          <w:highlight w:val="none"/>
          <w:lang w:val="en-US" w:eastAsia="zh-CN"/>
        </w:rPr>
        <w:t xml:space="preserve">  </w:t>
      </w:r>
      <w:permEnd w:id="15"/>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服务标准</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符合有关试验检测规范、操作规程,并对试验结果承担责任。</w:t>
      </w:r>
      <w:r>
        <w:rPr>
          <w:rFonts w:hint="eastAsia" w:asciiTheme="minorEastAsia" w:hAnsiTheme="minorEastAsia" w:cstheme="minorEastAsia"/>
          <w:color w:val="FF0000"/>
          <w:sz w:val="28"/>
          <w:szCs w:val="28"/>
          <w:highlight w:val="none"/>
          <w:lang w:val="en-US" w:eastAsia="zh-CN"/>
        </w:rPr>
        <w:t xml:space="preserve">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35CC7A0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（二）资质要求：</w:t>
      </w:r>
      <w:permStart w:id="18" w:edGrp="everyone"/>
      <w:r>
        <w:rPr>
          <w:rFonts w:hint="eastAsia" w:asciiTheme="minorEastAsia" w:hAnsiTheme="minorEastAsia" w:cstheme="minorEastAsia"/>
          <w:sz w:val="28"/>
          <w:szCs w:val="28"/>
          <w:highlight w:val="none"/>
          <w:u w:val="single"/>
          <w:lang w:val="en-US" w:eastAsia="zh-CN"/>
        </w:rPr>
        <w:t xml:space="preserve"> 供应商</w:t>
      </w:r>
      <w:r>
        <w:rPr>
          <w:rFonts w:hint="eastAsia" w:asciiTheme="minorEastAsia" w:hAnsiTheme="minorEastAsia" w:eastAsiaTheme="minorEastAsia" w:cstheme="minorEastAsia"/>
          <w:sz w:val="28"/>
          <w:szCs w:val="28"/>
          <w:highlight w:val="none"/>
          <w:u w:val="single"/>
          <w:lang w:val="en-US" w:eastAsia="zh-CN"/>
        </w:rPr>
        <w:t>必须同时具备以下①和②资质条件</w:t>
      </w:r>
      <w:r>
        <w:rPr>
          <w:rFonts w:hint="eastAsia" w:asciiTheme="minorEastAsia" w:hAnsiTheme="minorEastAsia" w:cstheme="minorEastAsia"/>
          <w:sz w:val="28"/>
          <w:szCs w:val="28"/>
          <w:highlight w:val="none"/>
          <w:u w:val="single"/>
          <w:lang w:val="en-US" w:eastAsia="zh-CN"/>
        </w:rPr>
        <w:t>：</w:t>
      </w:r>
    </w:p>
    <w:p w14:paraId="628822E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①</w:t>
      </w:r>
      <w:r>
        <w:rPr>
          <w:rFonts w:hint="eastAsia" w:asciiTheme="minorEastAsia" w:hAnsiTheme="minorEastAsia" w:cstheme="minorEastAsia"/>
          <w:sz w:val="28"/>
          <w:szCs w:val="28"/>
          <w:highlight w:val="none"/>
          <w:u w:val="single"/>
          <w:lang w:val="en-US" w:eastAsia="zh-CN"/>
        </w:rPr>
        <w:t>供应商</w:t>
      </w:r>
      <w:r>
        <w:rPr>
          <w:rFonts w:hint="eastAsia" w:asciiTheme="minorEastAsia" w:hAnsiTheme="minorEastAsia" w:eastAsiaTheme="minorEastAsia" w:cstheme="minorEastAsia"/>
          <w:sz w:val="28"/>
          <w:szCs w:val="28"/>
          <w:highlight w:val="none"/>
          <w:u w:val="single"/>
          <w:lang w:val="en-US" w:eastAsia="zh-CN"/>
        </w:rPr>
        <w:t>须具备建设行政主管部门颁发的建设工程质量检测机构综合资质证书或专项资质证书（专项资质证书包括：道路工程、市政工程材料）；</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u w:val="single"/>
          <w:lang w:val="en-US" w:eastAsia="zh-CN"/>
        </w:rPr>
        <w:t>②</w:t>
      </w:r>
      <w:r>
        <w:rPr>
          <w:rFonts w:hint="eastAsia" w:asciiTheme="minorEastAsia" w:hAnsiTheme="minorEastAsia" w:cstheme="minorEastAsia"/>
          <w:sz w:val="28"/>
          <w:szCs w:val="28"/>
          <w:highlight w:val="none"/>
          <w:u w:val="single"/>
          <w:lang w:val="en-US" w:eastAsia="zh-CN"/>
        </w:rPr>
        <w:t>供应商</w:t>
      </w:r>
      <w:r>
        <w:rPr>
          <w:rFonts w:hint="eastAsia" w:asciiTheme="minorEastAsia" w:hAnsiTheme="minorEastAsia" w:eastAsiaTheme="minorEastAsia" w:cstheme="minorEastAsia"/>
          <w:sz w:val="28"/>
          <w:szCs w:val="28"/>
          <w:highlight w:val="none"/>
          <w:u w:val="single"/>
          <w:lang w:val="en-US" w:eastAsia="zh-CN"/>
        </w:rPr>
        <w:t>须具备有效的CMA计量认证证书</w:t>
      </w:r>
      <w:r>
        <w:rPr>
          <w:rFonts w:hint="eastAsia" w:asciiTheme="minorEastAsia" w:hAnsiTheme="minorEastAsia" w:cstheme="minorEastAsia"/>
          <w:sz w:val="28"/>
          <w:szCs w:val="28"/>
          <w:highlight w:val="none"/>
          <w:u w:val="single"/>
          <w:lang w:val="en-US" w:eastAsia="zh-CN"/>
        </w:rPr>
        <w:t xml:space="preserve">。 </w:t>
      </w:r>
      <w:permEnd w:id="18"/>
    </w:p>
    <w:p w14:paraId="34E00FC4">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人员要求：</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9" w:edGrp="everyone"/>
      <w:r>
        <w:rPr>
          <w:rFonts w:hint="eastAsia" w:asciiTheme="minorEastAsia" w:hAnsiTheme="minorEastAsia" w:cstheme="minorEastAsia"/>
          <w:sz w:val="28"/>
          <w:szCs w:val="28"/>
          <w:highlight w:val="none"/>
          <w:u w:val="none"/>
          <w:lang w:val="en-US" w:eastAsia="zh-CN"/>
        </w:rPr>
        <w:t xml:space="preserve"> 市政公用工程相关专业中级工程师及以上职称</w:t>
      </w:r>
      <w:r>
        <w:rPr>
          <w:rFonts w:hint="eastAsia" w:asciiTheme="minorEastAsia" w:hAnsiTheme="minorEastAsia" w:eastAsiaTheme="minorEastAsia" w:cstheme="minorEastAsia"/>
          <w:sz w:val="28"/>
          <w:szCs w:val="28"/>
          <w:highlight w:val="none"/>
          <w:u w:val="none"/>
          <w:lang w:val="en-US" w:eastAsia="zh-CN"/>
        </w:rPr>
        <w:t>和检测人员岗位证书</w:t>
      </w:r>
      <w:r>
        <w:rPr>
          <w:rFonts w:hint="eastAsia" w:asciiTheme="minorEastAsia" w:hAnsiTheme="minorEastAsia" w:cstheme="minorEastAsia"/>
          <w:sz w:val="28"/>
          <w:szCs w:val="28"/>
          <w:highlight w:val="none"/>
          <w:u w:val="none"/>
          <w:lang w:val="en-US" w:eastAsia="zh-CN"/>
        </w:rPr>
        <w:t xml:space="preserve"> </w:t>
      </w:r>
      <w:permEnd w:id="19"/>
      <w:r>
        <w:rPr>
          <w:rFonts w:hint="eastAsia" w:asciiTheme="minorEastAsia" w:hAnsiTheme="minorEastAsia" w:eastAsiaTheme="minorEastAsia" w:cstheme="minorEastAsia"/>
          <w:sz w:val="28"/>
          <w:szCs w:val="28"/>
          <w:highlight w:val="none"/>
          <w:lang w:val="en-US" w:eastAsia="zh-CN"/>
        </w:rPr>
        <w:t>资格</w:t>
      </w:r>
      <w:r>
        <w:rPr>
          <w:rFonts w:hint="eastAsia" w:asciiTheme="minorEastAsia" w:hAnsi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2021 </w:t>
      </w:r>
      <w:permEnd w:id="20"/>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21"/>
      <w:r>
        <w:rPr>
          <w:rFonts w:hint="eastAsia" w:asciiTheme="minorEastAsia" w:hAnsiTheme="minorEastAsia" w:eastAsiaTheme="minorEastAsia" w:cstheme="minorEastAsia"/>
          <w:sz w:val="28"/>
          <w:szCs w:val="28"/>
          <w:highlight w:val="none"/>
          <w:lang w:val="en-US" w:eastAsia="zh-CN"/>
        </w:rPr>
        <w:t>个，以</w:t>
      </w:r>
      <w:permStart w:id="22"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2"/>
      <w:r>
        <w:rPr>
          <w:rFonts w:hint="eastAsia" w:asciiTheme="minorEastAsia" w:hAnsiTheme="minorEastAsia" w:eastAsiaTheme="minorEastAsia" w:cstheme="minorEastAsia"/>
          <w:sz w:val="28"/>
          <w:szCs w:val="28"/>
          <w:highlight w:val="none"/>
          <w:lang w:val="en-US" w:eastAsia="zh-CN"/>
        </w:rPr>
        <w:t>为准。类似项目业绩指：</w:t>
      </w:r>
      <w:permStart w:id="23"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单项合同金额不少于25万元及以上的市政道路工程第三方检测或交竣工检测业绩（如合同没有具体金额，需附合同业主的证明文件） </w:t>
      </w:r>
      <w:permEnd w:id="23"/>
      <w:r>
        <w:rPr>
          <w:rFonts w:hint="eastAsia" w:asciiTheme="minorEastAsia" w:hAnsiTheme="minorEastAsia" w:eastAsia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4"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24"/>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332FD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25" w:edGrp="everyone"/>
      <w:r>
        <w:rPr>
          <w:rFonts w:hint="eastAsia" w:asciiTheme="minorEastAsia" w:hAnsiTheme="minorEastAsia" w:eastAsiaTheme="minorEastAsia" w:cstheme="minorEastAsia"/>
          <w:color w:val="FF0000"/>
          <w:sz w:val="28"/>
          <w:szCs w:val="28"/>
          <w:highlight w:val="none"/>
          <w:lang w:val="en-US" w:eastAsia="zh-CN"/>
        </w:rPr>
        <w:t>不接受</w:t>
      </w:r>
      <w:permEnd w:id="2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6"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17</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7"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亳州市高新技术产业开发区酒城大道高铁南站金融商务中心2号楼</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1楼开标室</w:t>
      </w:r>
      <w:r>
        <w:rPr>
          <w:rFonts w:hint="eastAsia" w:asciiTheme="minorEastAsia" w:hAnsiTheme="minorEastAsia" w:cstheme="minorEastAsia"/>
          <w:i w:val="0"/>
          <w:iCs w:val="0"/>
          <w:sz w:val="28"/>
          <w:szCs w:val="28"/>
          <w:highlight w:val="none"/>
          <w:lang w:val="en-US" w:eastAsia="zh-CN"/>
        </w:rPr>
        <w:t>；</w:t>
      </w:r>
      <w:permEnd w:id="27"/>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29FB02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8"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8"/>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9"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14000元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亳州交控产业发展有限公司 </w:t>
      </w:r>
    </w:p>
    <w:permEnd w:id="30"/>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 xml:space="preserve"> 高铁南站金融商务中心2号楼 </w:t>
      </w:r>
      <w:permEnd w:id="31"/>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 xml:space="preserve"> 段工     孙工    </w:t>
      </w:r>
      <w:permEnd w:id="32"/>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 xml:space="preserve"> 0558- 5998967 </w:t>
      </w:r>
      <w:permEnd w:id="33"/>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亳州市高新技术产业开发区酒城大道高铁南站金融商务中心2号楼514室</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eastAsiaTheme="minorEastAsia" w:cstheme="minorEastAsia"/>
          <w:color w:val="FF0000"/>
          <w:sz w:val="28"/>
          <w:szCs w:val="28"/>
          <w:highlight w:val="none"/>
          <w:lang w:val="en-US" w:eastAsia="zh-CN"/>
        </w:rPr>
        <w:t xml:space="preserve"> 亳州交控产业发展有限公司</w:t>
      </w:r>
    </w:p>
    <w:p w14:paraId="19244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 年 </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 xml:space="preserve"> 月 </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 xml:space="preserve"> 日</w:t>
      </w:r>
      <w:permEnd w:id="34"/>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一</w:t>
      </w:r>
      <w:r>
        <w:rPr>
          <w:rFonts w:hint="default" w:asciiTheme="majorEastAsia" w:hAnsiTheme="majorEastAsia" w:eastAsiaTheme="majorEastAsia" w:cstheme="majorEastAsia"/>
          <w:b/>
          <w:bCs/>
          <w:sz w:val="32"/>
          <w:szCs w:val="32"/>
          <w:highlight w:val="none"/>
          <w:lang w:val="en-US" w:eastAsia="zh-CN"/>
        </w:rPr>
        <w:t xml:space="preserve">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7"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7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14 </w:t>
            </w:r>
            <w:r>
              <w:rPr>
                <w:rFonts w:hint="eastAsia" w:ascii="Times New Roman" w:hAnsi="Times New Roman" w:cs="Times New Roman"/>
                <w:szCs w:val="21"/>
                <w:highlight w:val="none"/>
                <w:u w:val="none"/>
                <w:lang w:val="en-US" w:eastAsia="zh-CN"/>
              </w:rPr>
              <w:t>日前</w:t>
            </w:r>
            <w:permEnd w:id="3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40"/>
            <w:r>
              <w:rPr>
                <w:rFonts w:hint="default" w:ascii="Times New Roman" w:hAnsi="Times New Roman" w:cs="Times New Roman"/>
                <w:szCs w:val="21"/>
                <w:highlight w:val="none"/>
              </w:rPr>
              <w:t>的形式：</w:t>
            </w:r>
            <w:permStart w:id="41" w:edGrp="everyone"/>
            <w:r>
              <w:rPr>
                <w:rFonts w:hint="default" w:ascii="Times New Roman" w:hAnsi="Times New Roman" w:cs="Times New Roman"/>
                <w:color w:val="FF0000"/>
                <w:szCs w:val="21"/>
                <w:highlight w:val="none"/>
              </w:rPr>
              <w:t>银行汇款或转账</w:t>
            </w:r>
            <w:permEnd w:id="4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42" w:edGrp="everyone"/>
            <w:r>
              <w:rPr>
                <w:rFonts w:hint="eastAsia" w:ascii="Times New Roman" w:hAnsi="Times New Roman" w:cs="Times New Roman"/>
                <w:color w:val="auto"/>
                <w:szCs w:val="21"/>
                <w:highlight w:val="none"/>
                <w:u w:val="single"/>
                <w:lang w:val="en-US" w:eastAsia="zh-CN"/>
              </w:rPr>
              <w:t xml:space="preserve">  14</w:t>
            </w:r>
            <w:bookmarkStart w:id="353" w:name="_GoBack"/>
            <w:bookmarkEnd w:id="353"/>
            <w:r>
              <w:rPr>
                <w:rFonts w:hint="eastAsia" w:ascii="Times New Roman" w:hAnsi="Times New Roman" w:cs="Times New Roman"/>
                <w:color w:val="auto"/>
                <w:szCs w:val="21"/>
                <w:highlight w:val="none"/>
                <w:u w:val="single"/>
                <w:lang w:val="en-US" w:eastAsia="zh-CN"/>
              </w:rPr>
              <w:t xml:space="preserve">000元  </w:t>
            </w:r>
            <w:permEnd w:id="4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BZJK-2025-033 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4"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4"/>
          </w:p>
          <w:p w14:paraId="6B6A56F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77BBEA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开启地址：亳州市高新技术产业开发区酒城大道高铁南站金融商务中心2号楼1楼开标室</w:t>
            </w:r>
          </w:p>
          <w:p w14:paraId="5E76C77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采购人：亳州交控产业发展有限公司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亳州市城市重点区域交通补短板项目-魏武大道（古泉路-北一环路）、州后街（新华路-魏武大道）、薛阁路（三曹路-魏武大道）、涡阳路（利辛路-和平路）、新华北路（和平路-香附路）质量检测 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项目编号：BZJK-2025-033 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07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亳州市高新技术产业开发区酒城大道高铁南站金融商务中心2号楼514室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7"/>
          <w:p w14:paraId="194D93FB">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b/>
                <w:bCs/>
                <w:color w:val="FF0000"/>
                <w:szCs w:val="21"/>
                <w:highlight w:val="none"/>
                <w:lang w:val="en-US" w:eastAsia="zh-CN"/>
              </w:rPr>
            </w:pPr>
            <w:permStart w:id="48"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
          <w:p w14:paraId="04096F15">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开户名称：亳州交控产业发展有限公司</w:t>
            </w:r>
          </w:p>
          <w:p w14:paraId="5D13BBC3">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开户银行：亳州药都农村商业银行股份有限公司</w:t>
            </w:r>
          </w:p>
          <w:p w14:paraId="32D96688">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银行账号：20010359271466600000013</w:t>
            </w:r>
          </w:p>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color w:val="FF0000"/>
                <w:szCs w:val="21"/>
                <w:highlight w:val="none"/>
                <w:lang w:val="en-US" w:eastAsia="zh-CN"/>
              </w:rPr>
              <w:t>提示：汇款时注意“亳（音bó）州”二字，请勿打错成“毫（háo）州”。</w:t>
            </w:r>
            <w:r>
              <w:rPr>
                <w:rFonts w:hint="eastAsia" w:ascii="Times New Roman" w:hAnsi="Times New Roman" w:cs="Times New Roman"/>
                <w:b/>
                <w:bCs/>
                <w:color w:val="FF0000"/>
                <w:szCs w:val="21"/>
                <w:highlight w:val="none"/>
                <w:lang w:val="en-US" w:eastAsia="zh-CN"/>
              </w:rPr>
              <w:t xml:space="preserve"> </w:t>
            </w:r>
            <w:permEnd w:id="48"/>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9"/>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0" w:edGrp="everyone"/>
            <w:r>
              <w:rPr>
                <w:rFonts w:hint="eastAsia" w:ascii="Times New Roman" w:hAnsi="Times New Roman" w:cs="Times New Roman"/>
                <w:b/>
                <w:bCs/>
                <w:color w:val="FF0000"/>
                <w:szCs w:val="21"/>
                <w:highlight w:val="none"/>
                <w:lang w:val="en-US" w:eastAsia="zh-CN"/>
              </w:rPr>
              <w:t xml:space="preserve">  40000元  </w:t>
            </w:r>
            <w:permEnd w:id="5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服务期满后退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5532"/>
      <w:bookmarkStart w:id="17" w:name="_Toc152042308"/>
      <w:bookmarkStart w:id="18" w:name="_Toc179632549"/>
      <w:bookmarkStart w:id="19" w:name="_Toc144974500"/>
      <w:bookmarkStart w:id="20" w:name="_Toc296602423"/>
      <w:bookmarkStart w:id="21" w:name="_Toc246996921"/>
      <w:bookmarkStart w:id="22" w:name="_Toc247085692"/>
      <w:bookmarkStart w:id="23" w:name="_Toc24699617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6"/>
      <w:bookmarkStart w:id="25" w:name="_Toc144974504"/>
      <w:bookmarkStart w:id="26" w:name="_Toc246996924"/>
      <w:bookmarkStart w:id="27" w:name="_Toc152042312"/>
      <w:bookmarkStart w:id="28" w:name="_Toc247085695"/>
      <w:bookmarkStart w:id="29" w:name="_Toc246996181"/>
      <w:bookmarkStart w:id="30" w:name="_Toc179632553"/>
      <w:bookmarkStart w:id="31" w:name="_Toc29660242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5537"/>
      <w:bookmarkStart w:id="34" w:name="_Toc296602427"/>
      <w:bookmarkStart w:id="35" w:name="_Toc152042313"/>
      <w:bookmarkStart w:id="36" w:name="_Toc246996182"/>
      <w:bookmarkStart w:id="37" w:name="_Toc246996925"/>
      <w:bookmarkStart w:id="38" w:name="_Toc247085696"/>
      <w:bookmarkStart w:id="39" w:name="_Toc179632554"/>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246996183"/>
      <w:bookmarkStart w:id="42" w:name="_Toc179632555"/>
      <w:bookmarkStart w:id="43" w:name="_Toc152042314"/>
      <w:bookmarkStart w:id="44" w:name="_Toc247085697"/>
      <w:bookmarkStart w:id="45" w:name="_Toc246996926"/>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1"/>
      <w:bookmarkStart w:id="48" w:name="_Toc152045542"/>
      <w:bookmarkStart w:id="49" w:name="_Toc246996930"/>
      <w:bookmarkStart w:id="50" w:name="_Toc296602432"/>
      <w:bookmarkStart w:id="51" w:name="_Toc144974510"/>
      <w:bookmarkStart w:id="52" w:name="_Toc179632560"/>
      <w:bookmarkStart w:id="53" w:name="_Toc152042318"/>
      <w:bookmarkStart w:id="54" w:name="_Toc246996187"/>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7085702"/>
      <w:bookmarkStart w:id="56" w:name="_Toc296602433"/>
      <w:bookmarkStart w:id="57" w:name="_Toc246996931"/>
      <w:bookmarkStart w:id="58" w:name="_Toc152045543"/>
      <w:bookmarkStart w:id="59" w:name="_Toc179632561"/>
      <w:bookmarkStart w:id="60" w:name="_Toc152042319"/>
      <w:bookmarkStart w:id="61" w:name="_Toc246996188"/>
      <w:bookmarkStart w:id="62" w:name="_Toc14497451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7085703"/>
      <w:bookmarkStart w:id="64" w:name="_Toc152045544"/>
      <w:bookmarkStart w:id="65" w:name="_Toc179632562"/>
      <w:bookmarkStart w:id="66" w:name="_Toc246996189"/>
      <w:bookmarkStart w:id="67" w:name="_Toc296602434"/>
      <w:bookmarkStart w:id="68" w:name="_Toc152042320"/>
      <w:bookmarkStart w:id="69" w:name="_Toc144974512"/>
      <w:bookmarkStart w:id="70" w:name="_Toc24699693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190"/>
      <w:bookmarkStart w:id="72" w:name="_Toc246996933"/>
      <w:bookmarkStart w:id="73" w:name="_Toc152042321"/>
      <w:bookmarkStart w:id="74" w:name="_Toc296602435"/>
      <w:bookmarkStart w:id="75" w:name="_Toc144974513"/>
      <w:bookmarkStart w:id="76" w:name="_Toc179632563"/>
      <w:bookmarkStart w:id="77" w:name="_Toc247085704"/>
      <w:bookmarkStart w:id="78" w:name="_Toc152045545"/>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96602436"/>
      <w:bookmarkStart w:id="80" w:name="_Toc152045546"/>
      <w:bookmarkStart w:id="81" w:name="_Toc144974514"/>
      <w:bookmarkStart w:id="82" w:name="_Toc152042322"/>
      <w:bookmarkStart w:id="83" w:name="_Toc246996934"/>
      <w:bookmarkStart w:id="84" w:name="_Toc247085705"/>
      <w:bookmarkStart w:id="85" w:name="_Toc246996191"/>
      <w:bookmarkStart w:id="86" w:name="_Toc17963256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96602437"/>
      <w:bookmarkStart w:id="88" w:name="_Toc247085706"/>
      <w:bookmarkStart w:id="89" w:name="_Toc179632565"/>
      <w:bookmarkStart w:id="90" w:name="_Toc144974515"/>
      <w:bookmarkStart w:id="91" w:name="_Toc246996935"/>
      <w:bookmarkStart w:id="92" w:name="_Toc246996192"/>
      <w:bookmarkStart w:id="93" w:name="_Toc152042323"/>
      <w:bookmarkStart w:id="94"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2324"/>
      <w:bookmarkStart w:id="96" w:name="_Toc179632566"/>
      <w:bookmarkStart w:id="97" w:name="_Toc247085707"/>
      <w:bookmarkStart w:id="98" w:name="_Toc152045548"/>
      <w:bookmarkStart w:id="99" w:name="_Toc246996193"/>
      <w:bookmarkStart w:id="100" w:name="_Toc144974516"/>
      <w:bookmarkStart w:id="101" w:name="_Toc296602438"/>
      <w:bookmarkStart w:id="102" w:name="_Toc24699693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79632567"/>
      <w:bookmarkStart w:id="104" w:name="_Toc144974517"/>
      <w:bookmarkStart w:id="105" w:name="_Toc152042325"/>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46996937"/>
      <w:bookmarkStart w:id="109" w:name="_Toc247085708"/>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73"/>
      <w:bookmarkStart w:id="112" w:name="_Toc152045555"/>
      <w:bookmarkStart w:id="113" w:name="_Toc144974523"/>
      <w:bookmarkStart w:id="114" w:name="_Toc246996199"/>
      <w:bookmarkStart w:id="115" w:name="_Toc247085713"/>
      <w:bookmarkStart w:id="116" w:name="_Toc152042331"/>
      <w:bookmarkStart w:id="117" w:name="_Toc246996942"/>
      <w:bookmarkStart w:id="118" w:name="_Toc29660244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3"/>
      <w:bookmarkStart w:id="120" w:name="_Toc246996200"/>
      <w:bookmarkStart w:id="121" w:name="_Toc296602444"/>
      <w:bookmarkStart w:id="122" w:name="_Toc247085714"/>
      <w:bookmarkStart w:id="123" w:name="_Toc144974524"/>
      <w:bookmarkStart w:id="124" w:name="_Toc152045556"/>
      <w:bookmarkStart w:id="125" w:name="_Toc152042332"/>
      <w:bookmarkStart w:id="126" w:name="_Toc17963257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6996201"/>
      <w:bookmarkStart w:id="128" w:name="_Toc247085715"/>
      <w:bookmarkStart w:id="129" w:name="_Toc152045557"/>
      <w:bookmarkStart w:id="130" w:name="_Toc246996944"/>
      <w:bookmarkStart w:id="131" w:name="_Toc144974525"/>
      <w:bookmarkStart w:id="132" w:name="_Toc179632575"/>
      <w:bookmarkStart w:id="133"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246996945"/>
      <w:bookmarkStart w:id="136" w:name="_Toc144974526"/>
      <w:bookmarkStart w:id="137" w:name="_Toc152045558"/>
      <w:bookmarkStart w:id="138" w:name="_Toc246996202"/>
      <w:bookmarkStart w:id="139" w:name="_Toc152042334"/>
      <w:bookmarkStart w:id="140" w:name="_Toc179632576"/>
      <w:bookmarkStart w:id="141" w:name="_Toc24708571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96602447"/>
      <w:bookmarkStart w:id="143" w:name="_Toc152045559"/>
      <w:bookmarkStart w:id="144" w:name="_Toc246996946"/>
      <w:bookmarkStart w:id="145" w:name="_Toc179632577"/>
      <w:bookmarkStart w:id="146" w:name="_Toc144974527"/>
      <w:bookmarkStart w:id="147" w:name="_Toc152042335"/>
      <w:bookmarkStart w:id="148" w:name="_Toc247085717"/>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8"/>
      <w:bookmarkStart w:id="151" w:name="_Toc152045560"/>
      <w:bookmarkStart w:id="152" w:name="_Toc144974528"/>
      <w:bookmarkStart w:id="153" w:name="_Toc179632578"/>
      <w:bookmarkStart w:id="154" w:name="_Toc247085718"/>
      <w:bookmarkStart w:id="155" w:name="_Toc152042336"/>
      <w:bookmarkStart w:id="156" w:name="_Toc246996204"/>
      <w:bookmarkStart w:id="157"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5"/>
      <w:bookmarkStart w:id="159" w:name="_Toc246996948"/>
      <w:bookmarkStart w:id="160" w:name="_Toc152042337"/>
      <w:bookmarkStart w:id="161" w:name="_Toc144974529"/>
      <w:bookmarkStart w:id="162" w:name="_Toc296602449"/>
      <w:bookmarkStart w:id="163" w:name="_Toc247085719"/>
      <w:bookmarkStart w:id="164" w:name="_Toc152045561"/>
      <w:bookmarkStart w:id="165" w:name="_Toc17963257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询比响应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3"/>
      <w:bookmarkStart w:id="167" w:name="_Toc247085721"/>
      <w:bookmarkStart w:id="168" w:name="_Toc179632581"/>
      <w:bookmarkStart w:id="169" w:name="_Toc296602452"/>
      <w:bookmarkStart w:id="170" w:name="_Toc246996207"/>
      <w:bookmarkStart w:id="171" w:name="_Toc246996950"/>
      <w:bookmarkStart w:id="172" w:name="_Toc144974531"/>
      <w:bookmarkStart w:id="173" w:name="_Toc152042339"/>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2342"/>
      <w:bookmarkStart w:id="175" w:name="_Toc296602455"/>
      <w:bookmarkStart w:id="176" w:name="_Toc246996210"/>
      <w:bookmarkStart w:id="177" w:name="_Toc144974534"/>
      <w:bookmarkStart w:id="178" w:name="_Toc179632584"/>
      <w:bookmarkStart w:id="179" w:name="_Toc152045566"/>
      <w:bookmarkStart w:id="180" w:name="_Toc246996953"/>
      <w:bookmarkStart w:id="181" w:name="_Toc24708572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7085725"/>
      <w:bookmarkStart w:id="183" w:name="_Toc246996954"/>
      <w:bookmarkStart w:id="184" w:name="_Toc144974535"/>
      <w:bookmarkStart w:id="185" w:name="_Toc152045567"/>
      <w:bookmarkStart w:id="186" w:name="_Toc179632585"/>
      <w:bookmarkStart w:id="187" w:name="_Toc296602456"/>
      <w:bookmarkStart w:id="188" w:name="_Toc152042343"/>
      <w:bookmarkStart w:id="189" w:name="_Toc246996211"/>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96602458"/>
      <w:bookmarkStart w:id="192" w:name="_Toc152045568"/>
      <w:bookmarkStart w:id="193" w:name="_Toc246996212"/>
      <w:bookmarkStart w:id="194" w:name="_Toc144974536"/>
      <w:bookmarkStart w:id="195" w:name="_Toc152042344"/>
      <w:bookmarkStart w:id="196" w:name="_Toc179632586"/>
      <w:bookmarkStart w:id="197" w:name="_Toc247085726"/>
      <w:bookmarkStart w:id="198" w:name="_Toc246996955"/>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5569"/>
      <w:bookmarkStart w:id="200" w:name="_Toc246996956"/>
      <w:bookmarkStart w:id="201" w:name="_Toc179632587"/>
      <w:bookmarkStart w:id="202" w:name="_Toc247085727"/>
      <w:bookmarkStart w:id="203" w:name="_Toc246996213"/>
      <w:bookmarkStart w:id="204" w:name="_Toc152042345"/>
      <w:bookmarkStart w:id="205" w:name="_Toc144974537"/>
      <w:bookmarkStart w:id="206" w:name="_Toc296602459"/>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590983"/>
      <w:bookmarkStart w:id="209" w:name="_Toc179632593"/>
      <w:bookmarkStart w:id="210" w:name="_Toc152042351"/>
      <w:bookmarkStart w:id="211" w:name="_Toc152045575"/>
      <w:bookmarkStart w:id="212" w:name="_Toc247085733"/>
      <w:bookmarkStart w:id="213" w:name="_Toc144974543"/>
      <w:bookmarkStart w:id="214" w:name="_Toc296602462"/>
      <w:bookmarkStart w:id="215" w:name="_Toc246996219"/>
      <w:bookmarkStart w:id="216" w:name="_Toc2469969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52045576"/>
      <w:bookmarkStart w:id="218" w:name="_Toc246996963"/>
      <w:bookmarkStart w:id="219" w:name="_Toc152042352"/>
      <w:bookmarkStart w:id="220" w:name="_Toc144974544"/>
      <w:bookmarkStart w:id="221" w:name="_Toc247085734"/>
      <w:bookmarkStart w:id="222" w:name="_Toc296602463"/>
      <w:bookmarkStart w:id="223" w:name="_Toc179632594"/>
      <w:bookmarkStart w:id="224" w:name="_Toc246996220"/>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964"/>
      <w:bookmarkStart w:id="226" w:name="_Toc296602464"/>
      <w:bookmarkStart w:id="227" w:name="_Toc179632595"/>
      <w:bookmarkStart w:id="228" w:name="_Toc247085735"/>
      <w:bookmarkStart w:id="229" w:name="_Toc144974545"/>
      <w:bookmarkStart w:id="230" w:name="_Toc246996221"/>
      <w:bookmarkStart w:id="231" w:name="_Toc152042353"/>
      <w:bookmarkStart w:id="232" w:name="_Toc152045577"/>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52" w:edGrp="everyone"/>
      <w:r>
        <w:rPr>
          <w:rFonts w:hint="eastAsia" w:ascii="宋体" w:hAnsi="宋体"/>
          <w:color w:val="FF0000"/>
          <w:sz w:val="24"/>
          <w:lang w:val="en-US" w:eastAsia="zh-CN"/>
        </w:rPr>
        <w:t>综合评估法</w:t>
      </w:r>
      <w:permEnd w:id="52"/>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427D11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C93CB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232"/>
            <w:bookmarkStart w:id="234" w:name="_Toc246996975"/>
            <w:bookmarkStart w:id="235" w:name="_Toc247085747"/>
            <w:bookmarkStart w:id="236" w:name="_Toc296602477"/>
            <w:bookmarkStart w:id="237" w:name="_Toc152045589"/>
            <w:bookmarkStart w:id="238" w:name="_Toc152042366"/>
            <w:bookmarkStart w:id="239" w:name="_Toc179632607"/>
            <w:bookmarkStart w:id="240" w:name="_Toc144974556"/>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28EB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DAB0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46114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5075C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5007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C5646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E832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9A35C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9CB8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0A6678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998CC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61D57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65DC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CFD9D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189B6E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4886E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88E9C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CFEEE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43C5A5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FB522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4560F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346DB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4F2946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E26ED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0B4C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7DACA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31A473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63BBE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9EB2B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28A10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058F1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06026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878F3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430B5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61B0F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A225B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D083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DF87C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7EA8ED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BBCB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57A818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C8EA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F21CB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F14A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71E5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83B7E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50D3B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9308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577B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5770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AF8A5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1C073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D768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46152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95FA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34429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F77F1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1324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58AF32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bookmarkStart w:id="241" w:name="_Toc144974563"/>
      <w:bookmarkStart w:id="242" w:name="_Toc246996239"/>
      <w:bookmarkStart w:id="243" w:name="_Toc296602484"/>
      <w:bookmarkStart w:id="244" w:name="_Toc179632614"/>
      <w:bookmarkStart w:id="245" w:name="_Toc152042373"/>
      <w:bookmarkStart w:id="246" w:name="_Toc246996982"/>
      <w:bookmarkStart w:id="247" w:name="_Toc152045596"/>
      <w:bookmarkStart w:id="248" w:name="_Toc247085754"/>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yellow"/>
          <w:lang w:val="en-US" w:eastAsia="zh-CN"/>
        </w:rPr>
        <w:t>（适用于综合评估法）</w:t>
      </w:r>
      <w:r>
        <w:rPr>
          <w:rFonts w:hint="eastAsia" w:ascii="宋体" w:hAnsi="宋体"/>
          <w:sz w:val="24"/>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4951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C8F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3DD1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21C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default" w:ascii="Times New Roman" w:hAnsi="Times New Roman" w:cs="Times New Roman"/>
                <w:b/>
                <w:bCs/>
                <w:kern w:val="0"/>
                <w:sz w:val="21"/>
                <w:szCs w:val="21"/>
                <w:highlight w:val="none"/>
                <w:lang w:val="en-US" w:eastAsia="zh-CN"/>
              </w:rPr>
              <w:t>评分标准</w:t>
            </w:r>
          </w:p>
        </w:tc>
      </w:tr>
      <w:tr w14:paraId="3DDB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6820" w:type="dxa"/>
          <w:trHeight w:val="312" w:hRule="atLeast"/>
        </w:trPr>
        <w:tc>
          <w:tcPr>
            <w:tcW w:w="1700" w:type="dxa"/>
            <w:vMerge w:val="restart"/>
            <w:tcBorders>
              <w:top w:val="single" w:color="auto" w:sz="4" w:space="0"/>
              <w:right w:val="single" w:color="auto" w:sz="4" w:space="0"/>
            </w:tcBorders>
            <w:noWrap w:val="0"/>
            <w:vAlign w:val="center"/>
          </w:tcPr>
          <w:p w14:paraId="1777C8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53" w:edGrp="everyone" w:colFirst="0" w:colLast="0"/>
            <w:r>
              <w:rPr>
                <w:rFonts w:hint="eastAsia" w:ascii="Times New Roman" w:hAnsi="Times New Roman" w:cs="Times New Roman"/>
                <w:i w:val="0"/>
                <w:iCs w:val="0"/>
                <w:color w:val="auto"/>
                <w:kern w:val="0"/>
                <w:sz w:val="24"/>
                <w:szCs w:val="24"/>
                <w:highlight w:val="none"/>
                <w:lang w:val="en-US" w:eastAsia="zh-CN"/>
              </w:rPr>
              <w:t>资信业绩评分标准</w:t>
            </w:r>
          </w:p>
          <w:p w14:paraId="639C30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i w:val="0"/>
                <w:iCs w:val="0"/>
                <w:color w:val="auto"/>
                <w:kern w:val="0"/>
                <w:sz w:val="24"/>
                <w:szCs w:val="24"/>
                <w:highlight w:val="none"/>
                <w:u w:val="single"/>
                <w:lang w:val="en-US" w:eastAsia="zh-CN"/>
              </w:rPr>
              <w:t>分）</w:t>
            </w:r>
          </w:p>
        </w:tc>
      </w:tr>
      <w:permEnd w:id="53"/>
      <w:tr w14:paraId="08DD72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CD0A9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54" w:edGrp="everyone" w:colFirst="0" w:colLast="0"/>
            <w:permStart w:id="55" w:edGrp="everyone" w:colFirst="1" w:colLast="1"/>
            <w:permStart w:id="56"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3930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7030A0"/>
                <w:kern w:val="0"/>
                <w:sz w:val="24"/>
                <w:szCs w:val="24"/>
                <w:highlight w:val="none"/>
                <w:lang w:val="en-US" w:eastAsia="zh-CN"/>
              </w:rPr>
            </w:pPr>
            <w:r>
              <w:rPr>
                <w:rFonts w:hint="eastAsia" w:ascii="Times New Roman" w:hAnsi="Times New Roman" w:cs="Times New Roman"/>
                <w:i w:val="0"/>
                <w:iCs w:val="0"/>
                <w:color w:val="7030A0"/>
                <w:kern w:val="0"/>
                <w:sz w:val="24"/>
                <w:szCs w:val="24"/>
                <w:highlight w:val="none"/>
                <w:lang w:val="en-US" w:eastAsia="zh-CN"/>
              </w:rPr>
              <w:t>信誉</w:t>
            </w:r>
          </w:p>
          <w:p w14:paraId="61F9C59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i w:val="0"/>
                <w:iCs w:val="0"/>
                <w:color w:val="7030A0"/>
                <w:kern w:val="0"/>
                <w:sz w:val="21"/>
                <w:szCs w:val="21"/>
                <w:highlight w:val="none"/>
                <w:lang w:val="en-US" w:eastAsia="zh-CN"/>
              </w:rPr>
            </w:pPr>
            <w:r>
              <w:rPr>
                <w:rFonts w:hint="default" w:ascii="Times New Roman" w:hAnsi="Times New Roman" w:cs="Times New Roman"/>
                <w:i w:val="0"/>
                <w:iCs w:val="0"/>
                <w:color w:val="7030A0"/>
                <w:kern w:val="0"/>
                <w:sz w:val="24"/>
                <w:szCs w:val="24"/>
                <w:highlight w:val="none"/>
                <w:u w:val="single"/>
                <w:lang w:val="en-US" w:eastAsia="zh-CN"/>
              </w:rPr>
              <w:t>（</w:t>
            </w:r>
            <w:r>
              <w:rPr>
                <w:rFonts w:hint="eastAsia" w:ascii="Times New Roman" w:hAnsi="Times New Roman" w:cs="Times New Roman"/>
                <w:i w:val="0"/>
                <w:iCs w:val="0"/>
                <w:color w:val="7030A0"/>
                <w:kern w:val="0"/>
                <w:sz w:val="24"/>
                <w:szCs w:val="24"/>
                <w:highlight w:val="none"/>
                <w:u w:val="single"/>
                <w:lang w:val="en-US" w:eastAsia="zh-CN"/>
              </w:rPr>
              <w:t>4</w:t>
            </w:r>
            <w:r>
              <w:rPr>
                <w:rFonts w:hint="default" w:ascii="Times New Roman" w:hAnsi="Times New Roman" w:cs="Times New Roman"/>
                <w:i w:val="0"/>
                <w:iCs w:val="0"/>
                <w:color w:val="7030A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B3CE3B">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cs="Times New Roman"/>
                <w:i w:val="0"/>
                <w:iCs w:val="0"/>
                <w:color w:val="7030A0"/>
                <w:sz w:val="24"/>
              </w:rPr>
            </w:pPr>
            <w:r>
              <w:rPr>
                <w:rFonts w:hint="eastAsia" w:asciiTheme="minorEastAsia" w:hAnsiTheme="minorEastAsia" w:cstheme="minorEastAsia"/>
                <w:i w:val="0"/>
                <w:iCs w:val="0"/>
                <w:color w:val="7030A0"/>
                <w:sz w:val="28"/>
                <w:szCs w:val="28"/>
                <w:highlight w:val="none"/>
                <w:u w:val="single"/>
                <w:lang w:val="en-US" w:eastAsia="zh-CN"/>
              </w:rPr>
              <w:t xml:space="preserve"> </w:t>
            </w:r>
            <w:r>
              <w:rPr>
                <w:rFonts w:hint="eastAsia" w:ascii="宋体" w:hAnsi="宋体" w:cs="Times New Roman"/>
                <w:i w:val="0"/>
                <w:iCs w:val="0"/>
                <w:color w:val="7030A0"/>
                <w:sz w:val="24"/>
              </w:rPr>
              <w:t>1、企业具有质量管理体系认证、环境管理体系认证、职业健康安全管理体系认证，且均在有效期内的，每个得1分， 满分</w:t>
            </w:r>
            <w:r>
              <w:rPr>
                <w:rFonts w:hint="eastAsia" w:ascii="宋体" w:hAnsi="宋体" w:cs="Times New Roman"/>
                <w:i w:val="0"/>
                <w:iCs w:val="0"/>
                <w:color w:val="7030A0"/>
                <w:sz w:val="24"/>
                <w:lang w:val="en-US" w:eastAsia="zh-CN"/>
              </w:rPr>
              <w:t>2</w:t>
            </w:r>
            <w:r>
              <w:rPr>
                <w:rFonts w:hint="eastAsia" w:ascii="宋体" w:hAnsi="宋体" w:cs="Times New Roman"/>
                <w:i w:val="0"/>
                <w:iCs w:val="0"/>
                <w:color w:val="7030A0"/>
                <w:sz w:val="24"/>
              </w:rPr>
              <w:t>分。</w:t>
            </w:r>
          </w:p>
          <w:p w14:paraId="46B77CA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7030A0"/>
                <w:kern w:val="0"/>
                <w:sz w:val="21"/>
                <w:szCs w:val="21"/>
                <w:highlight w:val="none"/>
                <w:lang w:val="en-US" w:eastAsia="zh-CN"/>
              </w:rPr>
            </w:pPr>
            <w:r>
              <w:rPr>
                <w:rFonts w:hint="eastAsia" w:ascii="宋体" w:hAnsi="宋体" w:cs="Times New Roman"/>
                <w:i w:val="0"/>
                <w:iCs w:val="0"/>
                <w:color w:val="7030A0"/>
                <w:sz w:val="24"/>
              </w:rPr>
              <w:t>2、</w:t>
            </w:r>
            <w:r>
              <w:rPr>
                <w:rFonts w:hint="eastAsia" w:ascii="宋体" w:hAnsi="宋体" w:cs="Times New Roman"/>
                <w:i w:val="0"/>
                <w:iCs w:val="0"/>
                <w:color w:val="7030A0"/>
                <w:sz w:val="24"/>
                <w:lang w:val="en-US" w:eastAsia="zh-CN"/>
              </w:rPr>
              <w:t>供应商</w:t>
            </w:r>
            <w:r>
              <w:rPr>
                <w:rFonts w:hint="eastAsia" w:ascii="宋体" w:hAnsi="宋体" w:cs="Times New Roman"/>
                <w:i w:val="0"/>
                <w:iCs w:val="0"/>
                <w:color w:val="7030A0"/>
                <w:sz w:val="24"/>
              </w:rPr>
              <w:t>自202</w:t>
            </w:r>
            <w:r>
              <w:rPr>
                <w:rFonts w:hint="eastAsia" w:ascii="宋体" w:hAnsi="宋体" w:cs="Times New Roman"/>
                <w:i w:val="0"/>
                <w:iCs w:val="0"/>
                <w:color w:val="7030A0"/>
                <w:sz w:val="24"/>
                <w:lang w:val="en-US" w:eastAsia="zh-CN"/>
              </w:rPr>
              <w:t>1</w:t>
            </w:r>
            <w:r>
              <w:rPr>
                <w:rFonts w:hint="eastAsia" w:ascii="宋体" w:hAnsi="宋体" w:cs="Times New Roman"/>
                <w:i w:val="0"/>
                <w:iCs w:val="0"/>
                <w:color w:val="7030A0"/>
                <w:sz w:val="24"/>
              </w:rPr>
              <w:t>年1月1日以来（以获奖时间为准），获得省级及以上行业主管部门</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含政府</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或行业协会颁发的</w:t>
            </w:r>
            <w:r>
              <w:rPr>
                <w:rFonts w:hint="eastAsia" w:ascii="Times New Roman" w:hAnsi="Times New Roman" w:cs="Times New Roman"/>
                <w:i w:val="0"/>
                <w:iCs w:val="0"/>
                <w:color w:val="7030A0"/>
                <w:kern w:val="0"/>
                <w:sz w:val="24"/>
                <w:szCs w:val="24"/>
                <w:highlight w:val="none"/>
                <w:lang w:val="en-US" w:eastAsia="zh-CN"/>
              </w:rPr>
              <w:t>建设工程质量检测类荣誉奖项的</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每个得</w:t>
            </w:r>
            <w:r>
              <w:rPr>
                <w:rFonts w:hint="eastAsia" w:ascii="宋体" w:hAnsi="宋体" w:cs="Times New Roman"/>
                <w:i w:val="0"/>
                <w:iCs w:val="0"/>
                <w:color w:val="7030A0"/>
                <w:sz w:val="24"/>
                <w:lang w:val="en-US" w:eastAsia="zh-CN"/>
              </w:rPr>
              <w:t>2</w:t>
            </w:r>
            <w:r>
              <w:rPr>
                <w:rFonts w:hint="eastAsia" w:ascii="宋体" w:hAnsi="宋体" w:cs="Times New Roman"/>
                <w:i w:val="0"/>
                <w:iCs w:val="0"/>
                <w:color w:val="7030A0"/>
                <w:sz w:val="24"/>
              </w:rPr>
              <w:t>分</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获得地市级行业主管部门</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含政府</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或行业协会颁发的</w:t>
            </w:r>
            <w:r>
              <w:rPr>
                <w:rFonts w:hint="eastAsia" w:ascii="Times New Roman" w:hAnsi="Times New Roman" w:cs="Times New Roman"/>
                <w:i w:val="0"/>
                <w:iCs w:val="0"/>
                <w:color w:val="7030A0"/>
                <w:kern w:val="0"/>
                <w:sz w:val="24"/>
                <w:szCs w:val="24"/>
                <w:highlight w:val="none"/>
                <w:lang w:val="en-US" w:eastAsia="zh-CN"/>
              </w:rPr>
              <w:t>建设工程质量检测类荣誉奖项的</w:t>
            </w:r>
            <w:r>
              <w:rPr>
                <w:rFonts w:hint="eastAsia" w:ascii="宋体" w:hAnsi="宋体" w:cs="Times New Roman"/>
                <w:i w:val="0"/>
                <w:iCs w:val="0"/>
                <w:color w:val="7030A0"/>
                <w:sz w:val="24"/>
              </w:rPr>
              <w:t>，每个得</w:t>
            </w:r>
            <w:r>
              <w:rPr>
                <w:rFonts w:hint="eastAsia" w:ascii="宋体" w:hAnsi="宋体" w:cs="Times New Roman"/>
                <w:i w:val="0"/>
                <w:iCs w:val="0"/>
                <w:color w:val="7030A0"/>
                <w:sz w:val="24"/>
                <w:lang w:val="en-US" w:eastAsia="zh-CN"/>
              </w:rPr>
              <w:t>1</w:t>
            </w:r>
            <w:r>
              <w:rPr>
                <w:rFonts w:hint="eastAsia" w:ascii="宋体" w:hAnsi="宋体" w:cs="Times New Roman"/>
                <w:i w:val="0"/>
                <w:iCs w:val="0"/>
                <w:color w:val="7030A0"/>
                <w:sz w:val="24"/>
              </w:rPr>
              <w:t>分。</w:t>
            </w:r>
            <w:r>
              <w:rPr>
                <w:rFonts w:hint="eastAsia" w:ascii="宋体" w:hAnsi="宋体" w:cs="Times New Roman"/>
                <w:i w:val="0"/>
                <w:iCs w:val="0"/>
                <w:color w:val="7030A0"/>
                <w:sz w:val="24"/>
                <w:lang w:val="en-US" w:eastAsia="zh-CN"/>
              </w:rPr>
              <w:t>本项</w:t>
            </w:r>
            <w:r>
              <w:rPr>
                <w:rFonts w:hint="eastAsia" w:ascii="宋体" w:hAnsi="宋体" w:cs="Times New Roman"/>
                <w:i w:val="0"/>
                <w:iCs w:val="0"/>
                <w:color w:val="7030A0"/>
                <w:sz w:val="24"/>
              </w:rPr>
              <w:t>满分得</w:t>
            </w:r>
            <w:r>
              <w:rPr>
                <w:rFonts w:hint="eastAsia" w:ascii="宋体" w:hAnsi="宋体" w:cs="Times New Roman"/>
                <w:i w:val="0"/>
                <w:iCs w:val="0"/>
                <w:color w:val="7030A0"/>
                <w:sz w:val="24"/>
                <w:lang w:val="en-US" w:eastAsia="zh-CN"/>
              </w:rPr>
              <w:t>2</w:t>
            </w:r>
            <w:r>
              <w:rPr>
                <w:rFonts w:hint="eastAsia" w:ascii="宋体" w:hAnsi="宋体" w:cs="Times New Roman"/>
                <w:i w:val="0"/>
                <w:iCs w:val="0"/>
                <w:color w:val="7030A0"/>
                <w:sz w:val="24"/>
              </w:rPr>
              <w:t>分</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lang w:val="en-US" w:eastAsia="zh-CN"/>
              </w:rPr>
              <w:t>多分不计。</w:t>
            </w:r>
          </w:p>
        </w:tc>
      </w:tr>
      <w:permEnd w:id="54"/>
      <w:permEnd w:id="55"/>
      <w:permEnd w:id="56"/>
      <w:tr w14:paraId="58D091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15C4194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57" w:edGrp="everyone" w:colFirst="0" w:colLast="0"/>
            <w:permStart w:id="58" w:edGrp="everyone" w:colFirst="1" w:colLast="1"/>
            <w:permStart w:id="59"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7279A7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7030A0"/>
                <w:kern w:val="0"/>
                <w:sz w:val="24"/>
                <w:szCs w:val="24"/>
                <w:highlight w:val="none"/>
                <w:lang w:val="en-US" w:eastAsia="zh-CN"/>
              </w:rPr>
            </w:pPr>
            <w:r>
              <w:rPr>
                <w:rFonts w:hint="eastAsia" w:ascii="Times New Roman" w:hAnsi="Times New Roman" w:cs="Times New Roman"/>
                <w:i w:val="0"/>
                <w:iCs w:val="0"/>
                <w:color w:val="7030A0"/>
                <w:kern w:val="0"/>
                <w:sz w:val="24"/>
                <w:szCs w:val="24"/>
                <w:highlight w:val="none"/>
                <w:lang w:val="en-US" w:eastAsia="zh-CN"/>
              </w:rPr>
              <w:t>企业类似</w:t>
            </w:r>
          </w:p>
          <w:p w14:paraId="381A8B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7030A0"/>
                <w:kern w:val="0"/>
                <w:sz w:val="24"/>
                <w:szCs w:val="24"/>
                <w:highlight w:val="none"/>
                <w:lang w:val="en-US" w:eastAsia="zh-CN"/>
              </w:rPr>
            </w:pPr>
            <w:r>
              <w:rPr>
                <w:rFonts w:hint="eastAsia" w:ascii="Times New Roman" w:hAnsi="Times New Roman" w:cs="Times New Roman"/>
                <w:i w:val="0"/>
                <w:iCs w:val="0"/>
                <w:color w:val="7030A0"/>
                <w:kern w:val="0"/>
                <w:sz w:val="24"/>
                <w:szCs w:val="24"/>
                <w:highlight w:val="none"/>
                <w:lang w:val="en-US" w:eastAsia="zh-CN"/>
              </w:rPr>
              <w:t>项目业绩</w:t>
            </w:r>
          </w:p>
          <w:p w14:paraId="5F46E561">
            <w:pPr>
              <w:keepNext w:val="0"/>
              <w:keepLines w:val="0"/>
              <w:widowControl/>
              <w:suppressLineNumbers w:val="0"/>
              <w:jc w:val="left"/>
              <w:rPr>
                <w:rFonts w:hint="default" w:ascii="Times New Roman" w:hAnsi="Times New Roman" w:cs="Times New Roman"/>
                <w:i w:val="0"/>
                <w:iCs w:val="0"/>
                <w:color w:val="7030A0"/>
                <w:kern w:val="0"/>
                <w:sz w:val="21"/>
                <w:szCs w:val="21"/>
                <w:highlight w:val="none"/>
                <w:lang w:val="en-US" w:eastAsia="zh-CN"/>
              </w:rPr>
            </w:pPr>
            <w:r>
              <w:rPr>
                <w:rFonts w:hint="default" w:ascii="Times New Roman" w:hAnsi="Times New Roman" w:cs="Times New Roman"/>
                <w:i w:val="0"/>
                <w:iCs w:val="0"/>
                <w:color w:val="7030A0"/>
                <w:kern w:val="0"/>
                <w:sz w:val="24"/>
                <w:szCs w:val="24"/>
                <w:highlight w:val="none"/>
                <w:u w:val="single"/>
                <w:lang w:val="en-US" w:eastAsia="zh-CN"/>
              </w:rPr>
              <w:t>（</w:t>
            </w:r>
            <w:r>
              <w:rPr>
                <w:rFonts w:hint="eastAsia" w:ascii="Times New Roman" w:hAnsi="Times New Roman" w:cs="Times New Roman"/>
                <w:i w:val="0"/>
                <w:iCs w:val="0"/>
                <w:color w:val="7030A0"/>
                <w:kern w:val="0"/>
                <w:sz w:val="24"/>
                <w:szCs w:val="24"/>
                <w:highlight w:val="none"/>
                <w:u w:val="single"/>
                <w:lang w:val="en-US" w:eastAsia="zh-CN"/>
              </w:rPr>
              <w:t>8</w:t>
            </w:r>
            <w:r>
              <w:rPr>
                <w:rFonts w:hint="default" w:ascii="Times New Roman" w:hAnsi="Times New Roman" w:cs="Times New Roman"/>
                <w:i w:val="0"/>
                <w:iCs w:val="0"/>
                <w:color w:val="7030A0"/>
                <w:kern w:val="0"/>
                <w:sz w:val="24"/>
                <w:szCs w:val="24"/>
                <w:highlight w:val="none"/>
                <w:u w:val="single"/>
                <w:lang w:val="en-US" w:eastAsia="zh-CN"/>
              </w:rPr>
              <w:t>分）</w:t>
            </w:r>
            <w:r>
              <w:rPr>
                <w:rFonts w:hint="eastAsia" w:ascii="宋体" w:hAnsi="宋体" w:eastAsia="宋体" w:cs="宋体"/>
                <w:i w:val="0"/>
                <w:iCs w:val="0"/>
                <w:color w:val="7030A0"/>
                <w:kern w:val="0"/>
                <w:sz w:val="21"/>
                <w:szCs w:val="21"/>
                <w:lang w:val="en-US" w:eastAsia="zh-CN" w:bidi="ar"/>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B750B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7030A0"/>
                <w:sz w:val="24"/>
              </w:rPr>
            </w:pPr>
            <w:r>
              <w:rPr>
                <w:rFonts w:hint="eastAsia" w:ascii="宋体" w:hAnsi="宋体" w:cs="Times New Roman"/>
                <w:i w:val="0"/>
                <w:iCs w:val="0"/>
                <w:color w:val="7030A0"/>
                <w:sz w:val="24"/>
                <w:lang w:val="en-US" w:eastAsia="zh-CN"/>
              </w:rPr>
              <w:t>除询比公告要求的资格业绩以外，供应商每额外提供一项</w:t>
            </w:r>
            <w:r>
              <w:rPr>
                <w:rFonts w:hint="eastAsia" w:ascii="宋体" w:hAnsi="宋体" w:cs="Times New Roman"/>
                <w:i w:val="0"/>
                <w:iCs w:val="0"/>
                <w:color w:val="7030A0"/>
                <w:sz w:val="24"/>
              </w:rPr>
              <w:t>20</w:t>
            </w:r>
            <w:r>
              <w:rPr>
                <w:rFonts w:hint="eastAsia" w:ascii="宋体" w:hAnsi="宋体" w:cs="Times New Roman"/>
                <w:i w:val="0"/>
                <w:iCs w:val="0"/>
                <w:color w:val="7030A0"/>
                <w:sz w:val="24"/>
                <w:lang w:val="en-US" w:eastAsia="zh-CN"/>
              </w:rPr>
              <w:t>21</w:t>
            </w:r>
            <w:r>
              <w:rPr>
                <w:rFonts w:hint="eastAsia" w:ascii="宋体" w:hAnsi="宋体" w:cs="Times New Roman"/>
                <w:i w:val="0"/>
                <w:iCs w:val="0"/>
                <w:color w:val="7030A0"/>
                <w:sz w:val="24"/>
              </w:rPr>
              <w:t>年1月1日以来</w:t>
            </w:r>
            <w:r>
              <w:rPr>
                <w:rFonts w:hint="eastAsia" w:ascii="宋体" w:hAnsi="宋体" w:cs="Times New Roman"/>
                <w:i w:val="0"/>
                <w:iCs w:val="0"/>
                <w:color w:val="7030A0"/>
                <w:sz w:val="24"/>
                <w:lang w:val="en-US" w:eastAsia="zh-CN"/>
              </w:rPr>
              <w:t>的企业</w:t>
            </w:r>
            <w:r>
              <w:rPr>
                <w:rFonts w:hint="eastAsia" w:ascii="宋体" w:hAnsi="宋体" w:cs="Times New Roman"/>
                <w:i w:val="0"/>
                <w:iCs w:val="0"/>
                <w:color w:val="7030A0"/>
                <w:sz w:val="24"/>
              </w:rPr>
              <w:t>类似项目业绩得</w:t>
            </w:r>
            <w:r>
              <w:rPr>
                <w:rFonts w:hint="eastAsia" w:ascii="宋体" w:hAnsi="宋体" w:cs="Times New Roman"/>
                <w:i w:val="0"/>
                <w:iCs w:val="0"/>
                <w:color w:val="7030A0"/>
                <w:sz w:val="24"/>
                <w:lang w:val="en-US" w:eastAsia="zh-CN"/>
              </w:rPr>
              <w:t>4</w:t>
            </w:r>
            <w:r>
              <w:rPr>
                <w:rFonts w:hint="eastAsia" w:ascii="宋体" w:hAnsi="宋体" w:cs="Times New Roman"/>
                <w:i w:val="0"/>
                <w:iCs w:val="0"/>
                <w:color w:val="7030A0"/>
                <w:sz w:val="24"/>
              </w:rPr>
              <w:t>分，满分</w:t>
            </w:r>
            <w:r>
              <w:rPr>
                <w:rFonts w:hint="eastAsia" w:ascii="宋体" w:hAnsi="宋体" w:cs="Times New Roman"/>
                <w:i w:val="0"/>
                <w:iCs w:val="0"/>
                <w:color w:val="7030A0"/>
                <w:sz w:val="24"/>
                <w:lang w:val="en-US" w:eastAsia="zh-CN"/>
              </w:rPr>
              <w:t>8</w:t>
            </w:r>
            <w:r>
              <w:rPr>
                <w:rFonts w:hint="eastAsia" w:ascii="宋体" w:hAnsi="宋体" w:cs="Times New Roman"/>
                <w:i w:val="0"/>
                <w:iCs w:val="0"/>
                <w:color w:val="7030A0"/>
                <w:sz w:val="24"/>
              </w:rPr>
              <w:t>分。</w:t>
            </w:r>
          </w:p>
          <w:p w14:paraId="7598C38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eastAsiaTheme="minorEastAsia"/>
                <w:i w:val="0"/>
                <w:iCs w:val="0"/>
                <w:color w:val="7030A0"/>
                <w:sz w:val="24"/>
                <w:lang w:eastAsia="zh-CN"/>
              </w:rPr>
            </w:pPr>
            <w:r>
              <w:rPr>
                <w:rFonts w:hint="eastAsia" w:ascii="宋体" w:hAnsi="宋体" w:cs="Times New Roman"/>
                <w:i w:val="0"/>
                <w:iCs w:val="0"/>
                <w:color w:val="7030A0"/>
                <w:sz w:val="24"/>
                <w:lang w:val="en-US" w:eastAsia="zh-CN"/>
              </w:rPr>
              <w:t>注：</w:t>
            </w:r>
            <w:r>
              <w:rPr>
                <w:rFonts w:hint="eastAsia" w:ascii="宋体" w:hAnsi="宋体" w:cs="Times New Roman"/>
                <w:i w:val="0"/>
                <w:iCs w:val="0"/>
                <w:color w:val="7030A0"/>
                <w:sz w:val="24"/>
              </w:rPr>
              <w:t>1、类似项</w:t>
            </w:r>
            <w:r>
              <w:rPr>
                <w:rFonts w:hint="eastAsia" w:ascii="宋体" w:hAnsi="宋体" w:cs="Times New Roman"/>
                <w:i w:val="0"/>
                <w:iCs w:val="0"/>
                <w:color w:val="7030A0"/>
                <w:sz w:val="24"/>
                <w:lang w:val="en-US" w:eastAsia="zh-CN"/>
              </w:rPr>
              <w:t>目业绩指：</w:t>
            </w:r>
            <w:r>
              <w:rPr>
                <w:rFonts w:hint="eastAsia" w:ascii="宋体" w:hAnsi="宋体" w:cs="Times New Roman"/>
                <w:color w:val="7030A0"/>
                <w:sz w:val="24"/>
                <w:szCs w:val="24"/>
                <w:u w:val="none"/>
                <w:lang w:val="en-US" w:eastAsia="zh-CN"/>
              </w:rPr>
              <w:t>单项合同金额不少于25万元及以上的市政道路工程第三方检测或交竣工检测业绩（如合同没有具体金额，需附合同业主的证明文件）</w:t>
            </w:r>
            <w:r>
              <w:rPr>
                <w:rFonts w:hint="eastAsia" w:ascii="宋体" w:hAnsi="宋体" w:cs="Times New Roman"/>
                <w:i w:val="0"/>
                <w:iCs w:val="0"/>
                <w:color w:val="7030A0"/>
                <w:sz w:val="24"/>
                <w:lang w:eastAsia="zh-CN"/>
              </w:rPr>
              <w:t>。</w:t>
            </w:r>
          </w:p>
          <w:p w14:paraId="45FB166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7030A0"/>
                <w:kern w:val="0"/>
                <w:sz w:val="21"/>
                <w:szCs w:val="21"/>
                <w:highlight w:val="none"/>
                <w:u w:val="single"/>
                <w:lang w:val="en-US" w:eastAsia="zh-CN"/>
              </w:rPr>
            </w:pPr>
            <w:r>
              <w:rPr>
                <w:rFonts w:hint="eastAsia" w:ascii="宋体" w:hAnsi="宋体" w:cs="Times New Roman"/>
                <w:i w:val="0"/>
                <w:iCs w:val="0"/>
                <w:color w:val="7030A0"/>
                <w:sz w:val="24"/>
              </w:rPr>
              <w:t>2、有效的业绩证明材料指：</w:t>
            </w:r>
            <w:r>
              <w:rPr>
                <w:rFonts w:hint="default" w:ascii="宋体" w:hAnsi="宋体" w:cs="Times New Roman"/>
                <w:i w:val="0"/>
                <w:iCs w:val="0"/>
                <w:color w:val="7030A0"/>
                <w:sz w:val="24"/>
                <w:lang w:val="en-US" w:eastAsia="zh-CN"/>
              </w:rPr>
              <w:t>提供业绩合同</w:t>
            </w:r>
            <w:r>
              <w:rPr>
                <w:rFonts w:hint="eastAsia" w:ascii="宋体" w:hAnsi="宋体" w:cs="Times New Roman"/>
                <w:i w:val="0"/>
                <w:iCs w:val="0"/>
                <w:color w:val="7030A0"/>
                <w:sz w:val="24"/>
                <w:lang w:val="en-US" w:eastAsia="zh-CN"/>
              </w:rPr>
              <w:t>等相关资料</w:t>
            </w:r>
            <w:r>
              <w:rPr>
                <w:rFonts w:hint="default" w:ascii="宋体" w:hAnsi="宋体" w:cs="Times New Roman"/>
                <w:i w:val="0"/>
                <w:iCs w:val="0"/>
                <w:color w:val="7030A0"/>
                <w:sz w:val="24"/>
                <w:lang w:val="en-US" w:eastAsia="zh-CN"/>
              </w:rPr>
              <w:t>复印件或扫描件装订入</w:t>
            </w:r>
            <w:r>
              <w:rPr>
                <w:rFonts w:hint="eastAsia" w:ascii="宋体" w:hAnsi="宋体" w:cs="Times New Roman"/>
                <w:i w:val="0"/>
                <w:iCs w:val="0"/>
                <w:color w:val="7030A0"/>
                <w:sz w:val="24"/>
                <w:lang w:val="en-US" w:eastAsia="zh-CN"/>
              </w:rPr>
              <w:t>响应</w:t>
            </w:r>
            <w:r>
              <w:rPr>
                <w:rFonts w:hint="default" w:ascii="宋体" w:hAnsi="宋体" w:cs="Times New Roman"/>
                <w:i w:val="0"/>
                <w:iCs w:val="0"/>
                <w:color w:val="7030A0"/>
                <w:sz w:val="24"/>
                <w:lang w:val="en-US" w:eastAsia="zh-CN"/>
              </w:rPr>
              <w:t>文件中</w:t>
            </w:r>
            <w:r>
              <w:rPr>
                <w:rFonts w:hint="eastAsia" w:ascii="宋体" w:hAnsi="宋体" w:cs="Times New Roman"/>
                <w:i w:val="0"/>
                <w:iCs w:val="0"/>
                <w:color w:val="7030A0"/>
                <w:sz w:val="24"/>
              </w:rPr>
              <w:t>。</w:t>
            </w:r>
          </w:p>
        </w:tc>
      </w:tr>
      <w:permEnd w:id="57"/>
      <w:permEnd w:id="58"/>
      <w:permEnd w:id="59"/>
      <w:tr w14:paraId="6D7405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1F2D33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60" w:edGrp="everyone"/>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E980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7030A0"/>
                <w:kern w:val="0"/>
                <w:sz w:val="24"/>
                <w:szCs w:val="24"/>
                <w:highlight w:val="none"/>
                <w:lang w:val="en-US" w:eastAsia="zh-CN"/>
              </w:rPr>
            </w:pPr>
            <w:r>
              <w:rPr>
                <w:rFonts w:hint="eastAsia" w:ascii="Times New Roman" w:hAnsi="Times New Roman" w:cs="Times New Roman"/>
                <w:color w:val="7030A0"/>
                <w:kern w:val="0"/>
                <w:sz w:val="24"/>
                <w:szCs w:val="24"/>
                <w:highlight w:val="none"/>
                <w:lang w:val="en-US" w:eastAsia="zh-CN"/>
              </w:rPr>
              <w:t>项目负责人</w:t>
            </w:r>
          </w:p>
          <w:p w14:paraId="4D7259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7030A0"/>
                <w:kern w:val="0"/>
                <w:sz w:val="24"/>
                <w:szCs w:val="24"/>
                <w:highlight w:val="none"/>
                <w:lang w:val="en-US" w:eastAsia="zh-CN"/>
              </w:rPr>
            </w:pPr>
            <w:r>
              <w:rPr>
                <w:rFonts w:hint="eastAsia" w:ascii="Times New Roman" w:hAnsi="Times New Roman" w:cs="Times New Roman"/>
                <w:color w:val="7030A0"/>
                <w:kern w:val="0"/>
                <w:sz w:val="24"/>
                <w:szCs w:val="24"/>
                <w:highlight w:val="none"/>
                <w:lang w:val="en-US" w:eastAsia="zh-CN"/>
              </w:rPr>
              <w:t>资历和业绩</w:t>
            </w:r>
          </w:p>
          <w:p w14:paraId="2DABB9A5">
            <w:pPr>
              <w:keepNext w:val="0"/>
              <w:keepLines w:val="0"/>
              <w:widowControl/>
              <w:suppressLineNumbers w:val="0"/>
              <w:jc w:val="left"/>
              <w:rPr>
                <w:rFonts w:hint="default" w:ascii="Times New Roman" w:hAnsi="Times New Roman" w:cs="Times New Roman"/>
                <w:i/>
                <w:iCs/>
                <w:color w:val="7030A0"/>
                <w:kern w:val="0"/>
                <w:sz w:val="24"/>
                <w:szCs w:val="24"/>
                <w:highlight w:val="none"/>
                <w:u w:val="single"/>
                <w:lang w:val="en-US" w:eastAsia="zh-CN"/>
              </w:rPr>
            </w:pPr>
            <w:r>
              <w:rPr>
                <w:rFonts w:hint="default" w:ascii="Times New Roman" w:hAnsi="Times New Roman" w:cs="Times New Roman"/>
                <w:i/>
                <w:iCs/>
                <w:color w:val="7030A0"/>
                <w:kern w:val="0"/>
                <w:sz w:val="24"/>
                <w:szCs w:val="24"/>
                <w:highlight w:val="none"/>
                <w:u w:val="single"/>
                <w:lang w:val="en-US" w:eastAsia="zh-CN"/>
              </w:rPr>
              <w:t>（</w:t>
            </w:r>
            <w:r>
              <w:rPr>
                <w:rFonts w:hint="eastAsia" w:ascii="Times New Roman" w:hAnsi="Times New Roman" w:cs="Times New Roman"/>
                <w:i/>
                <w:iCs/>
                <w:color w:val="7030A0"/>
                <w:kern w:val="0"/>
                <w:sz w:val="24"/>
                <w:szCs w:val="24"/>
                <w:highlight w:val="none"/>
                <w:u w:val="single"/>
                <w:lang w:val="en-US" w:eastAsia="zh-CN"/>
              </w:rPr>
              <w:t>8</w:t>
            </w:r>
            <w:r>
              <w:rPr>
                <w:rFonts w:hint="default" w:ascii="Times New Roman" w:hAnsi="Times New Roman" w:cs="Times New Roman"/>
                <w:i/>
                <w:iCs/>
                <w:color w:val="7030A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85A7D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7030A0"/>
                <w:sz w:val="24"/>
                <w:lang w:val="en-US" w:eastAsia="zh-CN"/>
              </w:rPr>
            </w:pPr>
            <w:r>
              <w:rPr>
                <w:rFonts w:hint="eastAsia" w:ascii="宋体" w:hAnsi="宋体" w:cs="Times New Roman"/>
                <w:color w:val="7030A0"/>
                <w:sz w:val="24"/>
                <w:lang w:val="en-US" w:eastAsia="zh-CN"/>
              </w:rPr>
              <w:t>1、本项目负责人具有市政工程类高级工程师职称证书，得4分；</w:t>
            </w:r>
          </w:p>
          <w:p w14:paraId="28FD7A1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7030A0"/>
                <w:sz w:val="24"/>
                <w:lang w:val="en-US" w:eastAsia="zh-CN"/>
              </w:rPr>
            </w:pPr>
            <w:r>
              <w:rPr>
                <w:rFonts w:hint="eastAsia" w:ascii="宋体" w:hAnsi="宋体" w:cs="Times New Roman"/>
                <w:color w:val="7030A0"/>
                <w:sz w:val="24"/>
                <w:lang w:val="en-US" w:eastAsia="zh-CN"/>
              </w:rPr>
              <w:t>2、项目负责人每提供1项以项目负责人身份完成的</w:t>
            </w:r>
            <w:r>
              <w:rPr>
                <w:rFonts w:hint="eastAsia" w:ascii="宋体" w:hAnsi="宋体" w:cs="Times New Roman"/>
                <w:color w:val="7030A0"/>
                <w:sz w:val="24"/>
                <w:szCs w:val="24"/>
                <w:u w:val="none"/>
                <w:lang w:val="en-US" w:eastAsia="zh-CN"/>
              </w:rPr>
              <w:t>单项合同金额不少于25万元及以上的市政道路工程第三方检测或交竣工检测业绩（如合同没有具体金额，需附合同建设方的证明文件）</w:t>
            </w:r>
            <w:r>
              <w:rPr>
                <w:rFonts w:hint="eastAsia" w:ascii="宋体" w:hAnsi="宋体" w:cs="Times New Roman"/>
                <w:color w:val="7030A0"/>
                <w:sz w:val="24"/>
                <w:lang w:val="en-US" w:eastAsia="zh-CN"/>
              </w:rPr>
              <w:t>得4分，满分4分。</w:t>
            </w:r>
          </w:p>
          <w:p w14:paraId="5C0BC44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7030A0"/>
                <w:sz w:val="24"/>
              </w:rPr>
            </w:pPr>
            <w:r>
              <w:rPr>
                <w:rFonts w:hint="eastAsia" w:ascii="宋体" w:hAnsi="宋体" w:cs="Times New Roman"/>
                <w:color w:val="7030A0"/>
                <w:sz w:val="24"/>
                <w:lang w:val="en-US" w:eastAsia="zh-CN"/>
              </w:rPr>
              <w:t>注：须提供相关证书复印件及近半年（开标之日起上推6个月）供应商为其连续缴纳的3个月社保证明（社保管理单位出具），合同需体现项目负责人身份信息，如无，需业主单位出具证明并加盖公章。</w:t>
            </w:r>
          </w:p>
        </w:tc>
      </w:tr>
      <w:permEnd w:id="60"/>
      <w:tr w14:paraId="3EABEB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013B12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61" w:edGrp="everyone" w:colFirst="1" w:colLast="1"/>
            <w:permStart w:id="62" w:edGrp="everyone" w:colFirst="2" w:colLast="2"/>
            <w:r>
              <w:rPr>
                <w:rFonts w:hint="eastAsia" w:ascii="Times New Roman" w:hAnsi="Times New Roman" w:cs="Times New Roman"/>
                <w:i w:val="0"/>
                <w:iCs w:val="0"/>
                <w:color w:val="auto"/>
                <w:kern w:val="0"/>
                <w:sz w:val="24"/>
                <w:szCs w:val="24"/>
                <w:highlight w:val="none"/>
                <w:lang w:val="en-US" w:eastAsia="zh-CN"/>
              </w:rPr>
              <w:t>服务方案评分标准</w:t>
            </w:r>
          </w:p>
          <w:p w14:paraId="404516B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4A87D3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i w:val="0"/>
                <w:iCs w:val="0"/>
                <w:color w:val="auto"/>
                <w:sz w:val="24"/>
              </w:rPr>
            </w:pPr>
            <w:r>
              <w:rPr>
                <w:rFonts w:hint="eastAsia" w:ascii="宋体" w:hAnsi="宋体" w:cs="Times New Roman"/>
                <w:i w:val="0"/>
                <w:iCs w:val="0"/>
                <w:color w:val="auto"/>
                <w:sz w:val="24"/>
              </w:rPr>
              <w:t>进度控制</w:t>
            </w:r>
          </w:p>
          <w:p w14:paraId="55A579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i w:val="0"/>
                <w:iCs w:val="0"/>
                <w:color w:val="auto"/>
                <w:sz w:val="24"/>
              </w:rPr>
            </w:pPr>
            <w:r>
              <w:rPr>
                <w:rFonts w:hint="eastAsia" w:ascii="宋体" w:hAnsi="宋体" w:cs="Times New Roman"/>
                <w:i w:val="0"/>
                <w:iCs w:val="0"/>
                <w:color w:val="auto"/>
                <w:sz w:val="24"/>
              </w:rPr>
              <w:t>措施</w:t>
            </w:r>
          </w:p>
          <w:p w14:paraId="721DA2F6">
            <w:pPr>
              <w:pStyle w:val="29"/>
              <w:spacing w:before="130" w:line="403" w:lineRule="auto"/>
              <w:ind w:right="139"/>
              <w:jc w:val="left"/>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7</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96A9F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进度控制措施，综合评定：</w:t>
            </w:r>
          </w:p>
          <w:p w14:paraId="44A7DD0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1）合理可行且符合实际情况的酌情按照6.0-7.0分进行评分；</w:t>
            </w:r>
          </w:p>
          <w:p w14:paraId="06CA0AC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2）内容较详细，基本符合实际情况的酌情按照3.0-6.0分进行评分；</w:t>
            </w:r>
          </w:p>
          <w:p w14:paraId="5971203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3）内容空洞，不符合实际情况的酌情按照0-3.0分进行评分；</w:t>
            </w:r>
          </w:p>
          <w:p w14:paraId="74326F8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kern w:val="0"/>
                <w:sz w:val="21"/>
                <w:szCs w:val="21"/>
                <w:highlight w:val="none"/>
                <w:lang w:val="en-US" w:eastAsia="zh-CN"/>
              </w:rPr>
            </w:pPr>
            <w:r>
              <w:rPr>
                <w:rFonts w:hint="eastAsia" w:ascii="宋体" w:hAnsi="宋体" w:cs="Times New Roman"/>
                <w:i w:val="0"/>
                <w:iCs w:val="0"/>
                <w:color w:val="auto"/>
                <w:sz w:val="24"/>
                <w:lang w:val="en-US" w:eastAsia="zh-CN"/>
              </w:rPr>
              <w:t>未提供的不得分。</w:t>
            </w:r>
          </w:p>
        </w:tc>
      </w:tr>
      <w:permEnd w:id="61"/>
      <w:permEnd w:id="62"/>
      <w:tr w14:paraId="27C117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1AB347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63" w:edGrp="everyone" w:colFirst="1" w:colLast="1"/>
            <w:permStart w:id="64"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83FE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质量、保密、安全等保证措施</w:t>
            </w:r>
          </w:p>
          <w:p w14:paraId="7D33F398">
            <w:pPr>
              <w:pStyle w:val="29"/>
              <w:spacing w:before="127" w:line="404" w:lineRule="auto"/>
              <w:ind w:right="159"/>
              <w:jc w:val="left"/>
              <w:rPr>
                <w:rFonts w:hint="default" w:ascii="Times New Roman" w:hAnsi="Times New Roman" w:cs="Times New Roman"/>
                <w:i w:val="0"/>
                <w:iCs w:val="0"/>
                <w:color w:val="FF0000"/>
                <w:kern w:val="0"/>
                <w:sz w:val="21"/>
                <w:szCs w:val="21"/>
                <w:highlight w:val="none"/>
                <w:u w:val="singl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8</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9608A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质量承诺、质量控制、保密、安全等保证措施及违反质量承诺的处罚措施合理具体。综合评定：</w:t>
            </w:r>
          </w:p>
          <w:p w14:paraId="2892231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1）内容详实、表述清晰、奖惩措施合理的酌情按照6.0-8.0分进行评分；</w:t>
            </w:r>
          </w:p>
          <w:p w14:paraId="31C50D1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2）内容详实、表述较清晰，奖惩措施较合理，酌情按照3.0-6.0分进行评分；</w:t>
            </w:r>
          </w:p>
          <w:p w14:paraId="76AD1D00">
            <w:pPr>
              <w:keepNext w:val="0"/>
              <w:keepLines w:val="0"/>
              <w:widowControl/>
              <w:suppressLineNumbers w:val="0"/>
              <w:jc w:val="left"/>
              <w:rPr>
                <w:rFonts w:hint="eastAsia" w:ascii="Times New Roman" w:hAnsi="Times New Roman" w:cs="Times New Roman"/>
                <w:i w:val="0"/>
                <w:iCs w:val="0"/>
                <w:color w:val="FF0000"/>
                <w:kern w:val="0"/>
                <w:sz w:val="21"/>
                <w:szCs w:val="21"/>
                <w:highlight w:val="none"/>
                <w:u w:val="single"/>
                <w:lang w:val="en-US" w:eastAsia="zh-CN"/>
              </w:rPr>
            </w:pPr>
            <w:r>
              <w:rPr>
                <w:rFonts w:hint="eastAsia" w:ascii="宋体" w:hAnsi="宋体" w:cs="Times New Roman"/>
                <w:i w:val="0"/>
                <w:iCs w:val="0"/>
                <w:color w:val="auto"/>
                <w:sz w:val="24"/>
                <w:lang w:val="en-US" w:eastAsia="zh-CN"/>
              </w:rPr>
              <w:t>3）内容不完整、奖惩措施不完全的酌情按照0-3.0分进行评分；未提供的不得分。</w:t>
            </w:r>
          </w:p>
        </w:tc>
      </w:tr>
      <w:permEnd w:id="63"/>
      <w:permEnd w:id="64"/>
      <w:tr w14:paraId="67965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12A91FC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65" w:edGrp="everyone" w:colFirst="0" w:colLast="0"/>
            <w:permStart w:id="66" w:edGrp="everyone" w:colFirst="1" w:colLast="1"/>
            <w:permStart w:id="67"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F3AD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i w:val="0"/>
                <w:iCs w:val="0"/>
                <w:color w:val="auto"/>
                <w:sz w:val="24"/>
              </w:rPr>
            </w:pPr>
            <w:r>
              <w:rPr>
                <w:rFonts w:hint="eastAsia" w:ascii="宋体" w:hAnsi="宋体" w:cs="Times New Roman"/>
                <w:i w:val="0"/>
                <w:iCs w:val="0"/>
                <w:color w:val="auto"/>
                <w:sz w:val="24"/>
              </w:rPr>
              <w:t>应急响应措施</w:t>
            </w:r>
          </w:p>
          <w:p w14:paraId="6D727794">
            <w:pPr>
              <w:pStyle w:val="29"/>
              <w:spacing w:before="130" w:line="403" w:lineRule="auto"/>
              <w:ind w:right="138"/>
              <w:jc w:val="left"/>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6C456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投标人提供的应急响应措施评分：</w:t>
            </w:r>
          </w:p>
          <w:p w14:paraId="6C5D868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1）科学、合理、针对性强的酌情按照4.0-5.0分进行评分；</w:t>
            </w:r>
          </w:p>
          <w:p w14:paraId="3536EE0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2）相对科学、合理的酌情按照2.0-4.0分进行评分；</w:t>
            </w:r>
          </w:p>
          <w:p w14:paraId="11517D87">
            <w:pPr>
              <w:keepNext w:val="0"/>
              <w:keepLines w:val="0"/>
              <w:widowControl/>
              <w:suppressLineNumbers w:val="0"/>
              <w:jc w:val="left"/>
              <w:rPr>
                <w:rFonts w:hint="default" w:ascii="Times New Roman" w:hAnsi="Times New Roman" w:cs="Times New Roman"/>
                <w:i w:val="0"/>
                <w:iCs w:val="0"/>
                <w:kern w:val="0"/>
                <w:sz w:val="21"/>
                <w:szCs w:val="21"/>
                <w:highlight w:val="none"/>
                <w:lang w:val="en-US" w:eastAsia="zh-CN"/>
              </w:rPr>
            </w:pPr>
            <w:r>
              <w:rPr>
                <w:rFonts w:hint="eastAsia" w:ascii="宋体" w:hAnsi="宋体" w:cs="Times New Roman"/>
                <w:i w:val="0"/>
                <w:iCs w:val="0"/>
                <w:color w:val="auto"/>
                <w:sz w:val="24"/>
                <w:lang w:val="en-US" w:eastAsia="zh-CN"/>
              </w:rPr>
              <w:t>3）内容不完整，措施不完全或内容差或者不提供的酌情按照0-2.0分进行评分。</w:t>
            </w:r>
          </w:p>
        </w:tc>
      </w:tr>
      <w:permEnd w:id="65"/>
      <w:permEnd w:id="66"/>
      <w:permEnd w:id="67"/>
      <w:tr w14:paraId="54D216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07DE7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68" w:edGrp="everyone"/>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D99F0B">
            <w:pPr>
              <w:spacing w:line="440" w:lineRule="exact"/>
              <w:jc w:val="center"/>
              <w:rPr>
                <w:rFonts w:ascii="宋体" w:hAnsi="宋体" w:cs="Times New Roman"/>
                <w:i w:val="0"/>
                <w:iCs w:val="0"/>
                <w:color w:val="auto"/>
                <w:sz w:val="24"/>
              </w:rPr>
            </w:pPr>
            <w:r>
              <w:rPr>
                <w:rFonts w:hint="eastAsia" w:ascii="宋体" w:hAnsi="宋体" w:cs="Times New Roman"/>
                <w:i w:val="0"/>
                <w:iCs w:val="0"/>
                <w:color w:val="auto"/>
                <w:sz w:val="24"/>
                <w:lang w:val="en-US" w:eastAsia="zh-CN"/>
              </w:rPr>
              <w:t>其他</w:t>
            </w:r>
            <w:r>
              <w:rPr>
                <w:rFonts w:hint="eastAsia" w:ascii="宋体" w:hAnsi="宋体" w:cs="Times New Roman"/>
                <w:i w:val="0"/>
                <w:iCs w:val="0"/>
                <w:color w:val="auto"/>
                <w:sz w:val="24"/>
              </w:rPr>
              <w:t>服务方案</w:t>
            </w:r>
          </w:p>
          <w:p w14:paraId="5440AF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B398E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供应商自行踏勘现场、并结合询比文件及相关资料自行编制本服务方案，由评审委员会进行综合评审。综合评审内容包括（但不仅限于）：</w:t>
            </w:r>
          </w:p>
          <w:p w14:paraId="05F2B7F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①</w:t>
            </w:r>
            <w:r>
              <w:rPr>
                <w:rFonts w:hint="eastAsia" w:ascii="宋体" w:hAnsi="宋体" w:cs="Times New Roman"/>
                <w:i w:val="0"/>
                <w:iCs w:val="0"/>
                <w:color w:val="auto"/>
                <w:sz w:val="24"/>
                <w:lang w:val="en-US" w:eastAsia="zh-CN"/>
              </w:rPr>
              <w:tab/>
            </w:r>
            <w:r>
              <w:rPr>
                <w:rFonts w:hint="eastAsia" w:ascii="宋体" w:hAnsi="宋体" w:cs="Times New Roman"/>
                <w:i w:val="0"/>
                <w:iCs w:val="0"/>
                <w:color w:val="auto"/>
                <w:sz w:val="24"/>
                <w:lang w:val="en-US" w:eastAsia="zh-CN"/>
              </w:rPr>
              <w:t>检测方案：检测总体思路、检测方案内容完整性和编制水平；</w:t>
            </w:r>
          </w:p>
          <w:p w14:paraId="669463F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②拟投入的设备仪器配备：满足本项目检测配备要求；</w:t>
            </w:r>
          </w:p>
          <w:p w14:paraId="64B8D37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③服务工作重、难点分析及建议：对服务工作的重点、难点内容进行分析给出合理化建议；</w:t>
            </w:r>
          </w:p>
          <w:p w14:paraId="74501D81">
            <w:pPr>
              <w:keepNext w:val="0"/>
              <w:keepLines w:val="0"/>
              <w:widowControl/>
              <w:suppressLineNumbers w:val="0"/>
              <w:ind w:firstLine="480" w:firstLineChars="200"/>
              <w:jc w:val="left"/>
              <w:rPr>
                <w:rFonts w:hint="eastAsia" w:ascii="Times New Roman" w:hAnsi="Times New Roman" w:cs="Times New Roman"/>
                <w:i w:val="0"/>
                <w:iCs w:val="0"/>
                <w:color w:val="FF0000"/>
                <w:kern w:val="0"/>
                <w:sz w:val="21"/>
                <w:szCs w:val="21"/>
                <w:highlight w:val="none"/>
                <w:u w:val="single"/>
                <w:lang w:val="en-US" w:eastAsia="zh-CN"/>
              </w:rPr>
            </w:pPr>
            <w:r>
              <w:rPr>
                <w:rFonts w:hint="eastAsia" w:ascii="宋体" w:hAnsi="宋体" w:cs="Times New Roman"/>
                <w:i w:val="0"/>
                <w:iCs w:val="0"/>
                <w:color w:val="auto"/>
                <w:sz w:val="24"/>
                <w:lang w:val="en-US" w:eastAsia="zh-CN"/>
              </w:rPr>
              <w:t>综合上述，评委会根据响应单位针对本项目配备进行综合评定，评价优秀的得8.0-10.0分，评价良好的得5.0-8.0分，评价一般的得3.0-5.0分，差的得0-3.0分。</w:t>
            </w:r>
          </w:p>
        </w:tc>
      </w:tr>
      <w:permEnd w:id="68"/>
      <w:tr w14:paraId="517897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9B49C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69" w:edGrp="everyone" w:colFirst="1" w:colLast="1"/>
            <w:permStart w:id="70" w:edGrp="everyone" w:colFirst="2" w:colLast="2"/>
            <w:r>
              <w:rPr>
                <w:rFonts w:hint="eastAsia" w:ascii="Times New Roman" w:hAnsi="Times New Roman" w:cs="Times New Roman"/>
                <w:i w:val="0"/>
                <w:iCs w:val="0"/>
                <w:color w:val="auto"/>
                <w:kern w:val="0"/>
                <w:sz w:val="24"/>
                <w:szCs w:val="24"/>
                <w:highlight w:val="none"/>
                <w:lang w:val="en-US" w:eastAsia="zh-CN"/>
              </w:rPr>
              <w:t>响应报价评分标准</w:t>
            </w:r>
          </w:p>
          <w:p w14:paraId="65D46E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86F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FF0000"/>
                <w:kern w:val="0"/>
                <w:sz w:val="21"/>
                <w:szCs w:val="21"/>
                <w:highlight w:val="none"/>
                <w:u w:val="single"/>
                <w:lang w:val="en-US" w:eastAsia="zh-CN"/>
              </w:rPr>
            </w:pPr>
            <w:r>
              <w:rPr>
                <w:rFonts w:hint="default" w:ascii="Times New Roman" w:hAnsi="Times New Roman" w:cs="Times New Roman"/>
                <w:i w:val="0"/>
                <w:iCs w:val="0"/>
                <w:color w:val="FF0000"/>
                <w:kern w:val="0"/>
                <w:sz w:val="21"/>
                <w:szCs w:val="21"/>
                <w:highlight w:val="none"/>
                <w:u w:val="single"/>
                <w:lang w:val="en-US" w:eastAsia="zh-CN"/>
              </w:rPr>
              <w:t>（</w:t>
            </w:r>
            <w:r>
              <w:rPr>
                <w:rFonts w:hint="eastAsia" w:ascii="Times New Roman" w:hAnsi="Times New Roman" w:cs="Times New Roman"/>
                <w:i w:val="0"/>
                <w:iCs w:val="0"/>
                <w:color w:val="FF0000"/>
                <w:kern w:val="0"/>
                <w:sz w:val="21"/>
                <w:szCs w:val="21"/>
                <w:highlight w:val="none"/>
                <w:u w:val="single"/>
                <w:lang w:val="en-US" w:eastAsia="zh-CN"/>
              </w:rPr>
              <w:t xml:space="preserve"> 响应报价</w:t>
            </w:r>
          </w:p>
          <w:p w14:paraId="1A39FE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u w:val="single"/>
                <w:lang w:val="en-US" w:eastAsia="zh-CN"/>
              </w:rPr>
              <w:t>50</w:t>
            </w:r>
            <w:r>
              <w:rPr>
                <w:rFonts w:hint="default" w:ascii="Times New Roman" w:hAnsi="Times New Roman" w:cs="Times New Roman"/>
                <w:i w:val="0"/>
                <w:iCs w:val="0"/>
                <w:color w:val="FF0000"/>
                <w:kern w:val="0"/>
                <w:sz w:val="21"/>
                <w:szCs w:val="21"/>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2B518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以所有有效供应商报价算术平均值作为基准价，公式如下：</w:t>
            </w:r>
          </w:p>
          <w:p w14:paraId="7F9FC2A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供应商的</w:t>
            </w:r>
            <w:r>
              <w:rPr>
                <w:rFonts w:hint="default" w:ascii="宋体" w:hAnsi="宋体" w:cs="Times New Roman"/>
                <w:i w:val="0"/>
                <w:iCs w:val="0"/>
                <w:color w:val="auto"/>
                <w:sz w:val="24"/>
                <w:lang w:val="en-US" w:eastAsia="zh-CN"/>
              </w:rPr>
              <w:t>报价等于基准价的，得满分</w:t>
            </w:r>
            <w:r>
              <w:rPr>
                <w:rFonts w:hint="eastAsia" w:ascii="宋体" w:hAnsi="宋体" w:cs="Times New Roman"/>
                <w:i w:val="0"/>
                <w:iCs w:val="0"/>
                <w:color w:val="auto"/>
                <w:sz w:val="24"/>
                <w:lang w:val="en-US" w:eastAsia="zh-CN"/>
              </w:rPr>
              <w:t>50</w:t>
            </w:r>
            <w:r>
              <w:rPr>
                <w:rFonts w:hint="default" w:ascii="宋体" w:hAnsi="宋体" w:cs="Times New Roman"/>
                <w:i w:val="0"/>
                <w:iCs w:val="0"/>
                <w:color w:val="auto"/>
                <w:sz w:val="24"/>
                <w:lang w:val="en-US" w:eastAsia="zh-CN"/>
              </w:rPr>
              <w:t>分。</w:t>
            </w:r>
          </w:p>
          <w:p w14:paraId="320A736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供应商的</w:t>
            </w:r>
            <w:r>
              <w:rPr>
                <w:rFonts w:hint="default" w:ascii="宋体" w:hAnsi="宋体" w:cs="Times New Roman"/>
                <w:i w:val="0"/>
                <w:iCs w:val="0"/>
                <w:color w:val="auto"/>
                <w:sz w:val="24"/>
                <w:lang w:val="en-US" w:eastAsia="zh-CN"/>
              </w:rPr>
              <w:t>报价高于基准价的，报价得分计算公式</w:t>
            </w:r>
            <w:r>
              <w:rPr>
                <w:rFonts w:hint="eastAsia" w:ascii="宋体" w:hAnsi="宋体" w:cs="Times New Roman"/>
                <w:i w:val="0"/>
                <w:iCs w:val="0"/>
                <w:color w:val="auto"/>
                <w:sz w:val="24"/>
                <w:lang w:val="en-US" w:eastAsia="zh-CN"/>
              </w:rPr>
              <w:t>：5</w:t>
            </w:r>
            <w:r>
              <w:rPr>
                <w:rFonts w:hint="default" w:ascii="宋体" w:hAnsi="宋体" w:cs="Times New Roman"/>
                <w:i w:val="0"/>
                <w:iCs w:val="0"/>
                <w:color w:val="auto"/>
                <w:sz w:val="24"/>
                <w:lang w:val="en-US" w:eastAsia="zh-CN"/>
              </w:rPr>
              <w:t>0-(投标报价-基准价)/基准价*</w:t>
            </w:r>
            <w:r>
              <w:rPr>
                <w:rFonts w:hint="eastAsia" w:ascii="宋体" w:hAnsi="宋体" w:cs="Times New Roman"/>
                <w:i w:val="0"/>
                <w:iCs w:val="0"/>
                <w:color w:val="auto"/>
                <w:sz w:val="24"/>
                <w:lang w:val="en-US" w:eastAsia="zh-CN"/>
              </w:rPr>
              <w:t>1</w:t>
            </w:r>
            <w:r>
              <w:rPr>
                <w:rFonts w:hint="default" w:ascii="宋体" w:hAnsi="宋体" w:cs="Times New Roman"/>
                <w:i w:val="0"/>
                <w:iCs w:val="0"/>
                <w:color w:val="auto"/>
                <w:sz w:val="24"/>
                <w:lang w:val="en-US" w:eastAsia="zh-CN"/>
              </w:rPr>
              <w:t>*100</w:t>
            </w:r>
            <w:r>
              <w:rPr>
                <w:rFonts w:hint="eastAsia" w:ascii="宋体" w:hAnsi="宋体" w:cs="Times New Roman"/>
                <w:i w:val="0"/>
                <w:iCs w:val="0"/>
                <w:color w:val="auto"/>
                <w:sz w:val="24"/>
                <w:lang w:val="en-US" w:eastAsia="zh-CN"/>
              </w:rPr>
              <w:t>；</w:t>
            </w:r>
          </w:p>
          <w:p w14:paraId="4FC848D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供应商的</w:t>
            </w:r>
            <w:r>
              <w:rPr>
                <w:rFonts w:hint="default" w:ascii="宋体" w:hAnsi="宋体" w:cs="Times New Roman"/>
                <w:i w:val="0"/>
                <w:iCs w:val="0"/>
                <w:color w:val="auto"/>
                <w:sz w:val="24"/>
                <w:lang w:val="en-US" w:eastAsia="zh-CN"/>
              </w:rPr>
              <w:t>报价低于基准价的，报价得分计算公式</w:t>
            </w:r>
            <w:r>
              <w:rPr>
                <w:rFonts w:hint="eastAsia" w:ascii="宋体" w:hAnsi="宋体" w:cs="Times New Roman"/>
                <w:i w:val="0"/>
                <w:iCs w:val="0"/>
                <w:color w:val="auto"/>
                <w:sz w:val="24"/>
                <w:lang w:val="en-US" w:eastAsia="zh-CN"/>
              </w:rPr>
              <w:t>：5</w:t>
            </w:r>
            <w:r>
              <w:rPr>
                <w:rFonts w:hint="default" w:ascii="宋体" w:hAnsi="宋体" w:cs="Times New Roman"/>
                <w:i w:val="0"/>
                <w:iCs w:val="0"/>
                <w:color w:val="auto"/>
                <w:sz w:val="24"/>
                <w:lang w:val="en-US" w:eastAsia="zh-CN"/>
              </w:rPr>
              <w:t>0+(投标报价-基准价)/基准价*</w:t>
            </w:r>
            <w:r>
              <w:rPr>
                <w:rFonts w:hint="eastAsia" w:ascii="宋体" w:hAnsi="宋体" w:cs="Times New Roman"/>
                <w:i w:val="0"/>
                <w:iCs w:val="0"/>
                <w:color w:val="auto"/>
                <w:sz w:val="24"/>
                <w:lang w:val="en-US" w:eastAsia="zh-CN"/>
              </w:rPr>
              <w:t>0.5</w:t>
            </w:r>
            <w:r>
              <w:rPr>
                <w:rFonts w:hint="default" w:ascii="宋体" w:hAnsi="宋体" w:cs="Times New Roman"/>
                <w:i w:val="0"/>
                <w:iCs w:val="0"/>
                <w:color w:val="auto"/>
                <w:sz w:val="24"/>
                <w:lang w:val="en-US" w:eastAsia="zh-CN"/>
              </w:rPr>
              <w:t>*100</w:t>
            </w:r>
            <w:r>
              <w:rPr>
                <w:rFonts w:hint="eastAsia" w:ascii="宋体" w:hAnsi="宋体" w:cs="Times New Roman"/>
                <w:i w:val="0"/>
                <w:iCs w:val="0"/>
                <w:color w:val="auto"/>
                <w:sz w:val="24"/>
                <w:lang w:val="en-US" w:eastAsia="zh-CN"/>
              </w:rPr>
              <w:t>。</w:t>
            </w:r>
          </w:p>
          <w:p w14:paraId="62881A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val="0"/>
                <w:iCs w:val="0"/>
                <w:kern w:val="0"/>
                <w:sz w:val="21"/>
                <w:szCs w:val="21"/>
                <w:highlight w:val="none"/>
                <w:lang w:val="en-US" w:eastAsia="zh-CN"/>
              </w:rPr>
            </w:pPr>
            <w:r>
              <w:rPr>
                <w:rFonts w:hint="default" w:ascii="宋体" w:hAnsi="宋体" w:cs="Times New Roman"/>
                <w:i w:val="0"/>
                <w:iCs w:val="0"/>
                <w:color w:val="auto"/>
                <w:sz w:val="24"/>
                <w:lang w:val="en-US" w:eastAsia="zh-CN"/>
              </w:rPr>
              <w:t>注</w:t>
            </w:r>
            <w:r>
              <w:rPr>
                <w:rFonts w:hint="eastAsia" w:ascii="宋体" w:hAnsi="宋体" w:cs="Times New Roman"/>
                <w:i w:val="0"/>
                <w:iCs w:val="0"/>
                <w:color w:val="auto"/>
                <w:sz w:val="24"/>
                <w:lang w:val="en-US" w:eastAsia="zh-CN"/>
              </w:rPr>
              <w:t>：投标报价得分最低扣至20分；</w:t>
            </w:r>
            <w:r>
              <w:rPr>
                <w:rFonts w:hint="default" w:ascii="宋体" w:hAnsi="宋体" w:cs="Times New Roman"/>
                <w:i w:val="0"/>
                <w:iCs w:val="0"/>
                <w:color w:val="auto"/>
                <w:sz w:val="24"/>
                <w:lang w:val="en-US" w:eastAsia="zh-CN"/>
              </w:rPr>
              <w:t>得分</w:t>
            </w:r>
            <w:r>
              <w:rPr>
                <w:rFonts w:hint="eastAsia" w:ascii="宋体" w:hAnsi="宋体" w:cs="Times New Roman"/>
                <w:i w:val="0"/>
                <w:iCs w:val="0"/>
                <w:color w:val="auto"/>
                <w:sz w:val="24"/>
                <w:lang w:val="en-US" w:eastAsia="zh-CN"/>
              </w:rPr>
              <w:t>保留</w:t>
            </w:r>
            <w:r>
              <w:rPr>
                <w:rFonts w:hint="default" w:ascii="宋体" w:hAnsi="宋体" w:cs="Times New Roman"/>
                <w:i w:val="0"/>
                <w:iCs w:val="0"/>
                <w:color w:val="auto"/>
                <w:sz w:val="24"/>
                <w:lang w:val="en-US" w:eastAsia="zh-CN"/>
              </w:rPr>
              <w:t>小数点后两位，第三位四舍五入。</w:t>
            </w:r>
          </w:p>
        </w:tc>
      </w:tr>
      <w:permEnd w:id="69"/>
      <w:permEnd w:id="70"/>
      <w:tr w14:paraId="053977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3"/>
            <w:tcBorders>
              <w:top w:val="single" w:color="auto" w:sz="4" w:space="0"/>
              <w:bottom w:val="single" w:color="auto" w:sz="4" w:space="0"/>
              <w:right w:val="single" w:color="auto" w:sz="4" w:space="0"/>
            </w:tcBorders>
            <w:noWrap w:val="0"/>
            <w:vAlign w:val="center"/>
          </w:tcPr>
          <w:p w14:paraId="68EA53A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eastAsiaTheme="minorEastAsia"/>
                <w:i w:val="0"/>
                <w:iCs w:val="0"/>
                <w:kern w:val="0"/>
                <w:sz w:val="21"/>
                <w:szCs w:val="21"/>
                <w:highlight w:val="none"/>
                <w:lang w:val="en-US" w:eastAsia="zh-CN"/>
              </w:rPr>
            </w:pPr>
            <w:permStart w:id="71" w:edGrp="everyone" w:colFirst="0" w:colLast="0"/>
            <w:r>
              <w:rPr>
                <w:rFonts w:hint="default" w:ascii="Times New Roman" w:hAnsi="Times New Roman" w:cs="Times New Roman"/>
                <w:i w:val="0"/>
                <w:iCs w:val="0"/>
                <w:kern w:val="0"/>
                <w:sz w:val="21"/>
                <w:szCs w:val="21"/>
                <w:highlight w:val="none"/>
                <w:lang w:val="en-US" w:eastAsia="zh-CN"/>
              </w:rPr>
              <w:t>注：</w:t>
            </w:r>
            <w:r>
              <w:rPr>
                <w:rFonts w:hint="eastAsia"/>
              </w:rPr>
              <w:t>评分区间一律按左闭右开计算，评分保留2位小数</w:t>
            </w:r>
            <w:r>
              <w:rPr>
                <w:rFonts w:hint="eastAsia"/>
                <w:lang w:eastAsia="zh-CN"/>
              </w:rPr>
              <w:t>。</w:t>
            </w:r>
          </w:p>
        </w:tc>
      </w:tr>
      <w:permEnd w:id="71"/>
    </w:tbl>
    <w:p w14:paraId="10C1BAD7">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5527CD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eastAsia="zh-CN"/>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kern w:val="0"/>
          <w:sz w:val="24"/>
          <w:szCs w:val="24"/>
          <w:highlight w:val="none"/>
          <w:lang w:eastAsia="zh-CN"/>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19A3461E">
      <w:pPr>
        <w:rPr>
          <w:rFonts w:hint="default" w:ascii="Times New Roman" w:hAnsi="Times New Roman" w:cs="Times New Roman" w:eastAsiaTheme="minorEastAsia"/>
          <w:b/>
          <w:bCs/>
          <w:kern w:val="0"/>
          <w:sz w:val="28"/>
          <w:szCs w:val="28"/>
          <w:highlight w:val="none"/>
        </w:rPr>
      </w:pPr>
      <w:bookmarkStart w:id="249" w:name="_Toc152042370"/>
      <w:bookmarkStart w:id="250" w:name="_Toc246996236"/>
      <w:bookmarkStart w:id="251" w:name="_Toc247085751"/>
      <w:bookmarkStart w:id="252" w:name="_Toc296602481"/>
      <w:bookmarkStart w:id="253" w:name="_Toc179632611"/>
      <w:bookmarkStart w:id="254" w:name="_Toc144974560"/>
      <w:bookmarkStart w:id="255" w:name="_Toc246996979"/>
      <w:bookmarkStart w:id="256" w:name="_Toc152045593"/>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9"/>
      <w:bookmarkEnd w:id="250"/>
      <w:bookmarkEnd w:id="251"/>
      <w:bookmarkEnd w:id="252"/>
      <w:bookmarkEnd w:id="253"/>
      <w:bookmarkEnd w:id="254"/>
      <w:bookmarkEnd w:id="255"/>
      <w:bookmarkEnd w:id="256"/>
    </w:p>
    <w:p w14:paraId="73A22F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03AE8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5CF10F1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6E61FA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F10D1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130277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5890CC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EF9185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79C92C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1433E4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017334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44046D4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1"/>
      <w:r>
        <w:rPr>
          <w:rFonts w:hint="default" w:ascii="Times New Roman" w:hAnsi="Times New Roman" w:cs="Times New Roman" w:eastAsiaTheme="minorEastAsia"/>
          <w:b/>
          <w:bCs/>
          <w:kern w:val="0"/>
          <w:sz w:val="28"/>
          <w:szCs w:val="28"/>
          <w:highlight w:val="none"/>
          <w:lang w:eastAsia="zh-CN"/>
        </w:rPr>
        <w:t>和补正</w:t>
      </w:r>
      <w:bookmarkEnd w:id="242"/>
      <w:bookmarkEnd w:id="243"/>
      <w:bookmarkEnd w:id="244"/>
      <w:bookmarkEnd w:id="245"/>
      <w:bookmarkEnd w:id="246"/>
      <w:bookmarkEnd w:id="247"/>
      <w:bookmarkEnd w:id="248"/>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2"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8"/>
                <w:szCs w:val="28"/>
                <w:highlight w:val="none"/>
                <w:shd w:val="clear" w:color="auto" w:fill="auto"/>
                <w:vertAlign w:val="baseline"/>
                <w:lang w:val="en-US" w:eastAsia="zh-CN"/>
              </w:rPr>
              <w:t xml:space="preserve">  </w:t>
            </w:r>
            <w:r>
              <w:rPr>
                <w:rFonts w:hint="eastAsia" w:ascii="Times New Roman" w:hAnsi="Times New Roman" w:cs="Times New Roman"/>
                <w:sz w:val="28"/>
                <w:szCs w:val="28"/>
                <w:lang w:val="en-US" w:eastAsia="zh-CN"/>
              </w:rPr>
              <w:t>亳州交控产业发展有限公司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72"/>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pStyle w:val="5"/>
              <w:ind w:firstLine="560" w:firstLineChars="200"/>
              <w:rPr>
                <w:rFonts w:hint="default" w:ascii="Times New Roman" w:hAnsi="Times New Roman" w:cs="Times New Roman"/>
                <w:i/>
                <w:iCs/>
                <w:color w:val="0070C0"/>
                <w:kern w:val="0"/>
                <w:sz w:val="24"/>
                <w:szCs w:val="24"/>
                <w:highlight w:val="none"/>
                <w:u w:val="none"/>
                <w:shd w:val="clear" w:color="auto" w:fill="auto"/>
                <w:vertAlign w:val="baseline"/>
                <w:lang w:val="en-US" w:eastAsia="zh-CN"/>
              </w:rPr>
            </w:pPr>
            <w:permStart w:id="73" w:edGrp="everyone"/>
            <w:r>
              <w:rPr>
                <w:rFonts w:hint="eastAsia" w:ascii="Times New Roman" w:hAnsi="Times New Roman" w:cs="Times New Roman" w:eastAsiaTheme="minorEastAsia"/>
                <w:kern w:val="0"/>
                <w:sz w:val="28"/>
                <w:szCs w:val="28"/>
                <w:highlight w:val="none"/>
                <w:u w:val="none"/>
                <w:shd w:val="clear" w:color="auto" w:fill="auto"/>
                <w:vertAlign w:val="baseline"/>
                <w:lang w:val="en-US" w:eastAsia="zh-CN" w:bidi="ar-SA"/>
              </w:rPr>
              <w:t>按每条道路工程项目单独进行支付：按一个季度内实际完成检测工程量的65%支付费用，工程竣工验收合格后付至全部检测工程量的80%，工程结算审核完成后付至全部检测工程量的97%，工程缺陷责任期满</w:t>
            </w:r>
            <w:r>
              <w:rPr>
                <w:rFonts w:hint="eastAsia" w:ascii="Times New Roman" w:hAnsi="Times New Roman" w:cs="Times New Roman" w:eastAsiaTheme="minorEastAsia"/>
                <w:kern w:val="0"/>
                <w:sz w:val="28"/>
                <w:szCs w:val="28"/>
                <w:highlight w:val="none"/>
                <w:u w:val="none"/>
                <w:shd w:val="clear" w:color="auto" w:fill="auto"/>
              </w:rPr>
              <w:t>（以施工合同约定为准）</w:t>
            </w:r>
            <w:r>
              <w:rPr>
                <w:rFonts w:hint="eastAsia" w:ascii="Times New Roman" w:hAnsi="Times New Roman" w:cs="Times New Roman" w:eastAsiaTheme="minorEastAsia"/>
                <w:kern w:val="0"/>
                <w:sz w:val="28"/>
                <w:szCs w:val="28"/>
                <w:highlight w:val="none"/>
                <w:u w:val="none"/>
                <w:shd w:val="clear" w:color="auto" w:fill="auto"/>
                <w:vertAlign w:val="baseline"/>
                <w:lang w:val="en-US" w:eastAsia="zh-CN" w:bidi="ar-SA"/>
              </w:rPr>
              <w:t>后无息付清尾款。</w:t>
            </w:r>
            <w:r>
              <w:rPr>
                <w:rFonts w:hint="eastAsia" w:ascii="Times New Roman" w:hAnsi="Times New Roman" w:cs="Times New Roman"/>
                <w:i w:val="0"/>
                <w:iCs w:val="0"/>
                <w:color w:val="FF0000"/>
                <w:kern w:val="0"/>
                <w:sz w:val="28"/>
                <w:szCs w:val="28"/>
                <w:highlight w:val="none"/>
                <w:u w:val="none"/>
                <w:shd w:val="clear" w:color="auto" w:fill="auto"/>
                <w:vertAlign w:val="baseline"/>
                <w:lang w:val="en-US" w:eastAsia="zh-CN"/>
              </w:rPr>
              <w:t xml:space="preserve"> </w:t>
            </w:r>
            <w:r>
              <w:rPr>
                <w:rFonts w:hint="eastAsia" w:ascii="Times New Roman" w:hAnsi="Times New Roman" w:cs="Times New Roman"/>
                <w:i w:val="0"/>
                <w:iCs w:val="0"/>
                <w:color w:val="FF0000"/>
                <w:kern w:val="0"/>
                <w:sz w:val="24"/>
                <w:szCs w:val="24"/>
                <w:highlight w:val="none"/>
                <w:u w:val="none"/>
                <w:shd w:val="clear" w:color="auto" w:fill="auto"/>
                <w:vertAlign w:val="baseline"/>
                <w:lang w:val="en-US" w:eastAsia="zh-CN"/>
              </w:rPr>
              <w:t xml:space="preserve"> </w:t>
            </w:r>
            <w:permEnd w:id="73"/>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4" w:edGrp="everyone"/>
            <w:r>
              <w:rPr>
                <w:rFonts w:hint="eastAsia" w:ascii="Times New Roman" w:hAnsi="Times New Roman" w:cs="Times New Roman"/>
                <w:color w:val="0000FF"/>
                <w:kern w:val="0"/>
                <w:sz w:val="24"/>
                <w:szCs w:val="24"/>
                <w:highlight w:val="none"/>
                <w:shd w:val="clear" w:color="auto" w:fill="auto"/>
                <w:vertAlign w:val="baseline"/>
                <w:lang w:val="en-US" w:eastAsia="zh-CN"/>
              </w:rPr>
              <w:t xml:space="preserve">需要检测的道路以采购人通知为准，最终依据具体检测项目及数量据实结算，若存在某条道路不实施，最终采购人不承担任何违约责任。  </w:t>
            </w:r>
            <w:permEnd w:id="74"/>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69869711">
      <w:pPr>
        <w:spacing w:line="720" w:lineRule="auto"/>
        <w:rPr>
          <w:rFonts w:hint="eastAsia" w:eastAsia="黑体"/>
          <w:b/>
          <w:sz w:val="28"/>
        </w:rPr>
      </w:pPr>
    </w:p>
    <w:p w14:paraId="3B9A1950">
      <w:pPr>
        <w:spacing w:line="720" w:lineRule="auto"/>
        <w:rPr>
          <w:rFonts w:hint="eastAsia" w:eastAsia="黑体"/>
          <w:b/>
          <w:sz w:val="28"/>
        </w:rPr>
      </w:pPr>
    </w:p>
    <w:p w14:paraId="76F2854D">
      <w:pPr>
        <w:spacing w:line="720" w:lineRule="auto"/>
        <w:rPr>
          <w:rFonts w:hint="eastAsia" w:eastAsia="黑体"/>
          <w:b/>
          <w:sz w:val="28"/>
        </w:rPr>
      </w:pPr>
    </w:p>
    <w:p w14:paraId="0964B668">
      <w:pPr>
        <w:spacing w:line="720" w:lineRule="auto"/>
        <w:rPr>
          <w:rFonts w:hint="eastAsia" w:eastAsia="黑体"/>
          <w:b/>
          <w:sz w:val="28"/>
        </w:rPr>
      </w:pPr>
    </w:p>
    <w:p w14:paraId="5D82DA55">
      <w:pPr>
        <w:spacing w:line="720" w:lineRule="auto"/>
        <w:rPr>
          <w:rFonts w:hint="eastAsia" w:eastAsia="黑体"/>
          <w:b/>
          <w:sz w:val="28"/>
        </w:rPr>
      </w:pPr>
    </w:p>
    <w:p w14:paraId="59440A66">
      <w:pPr>
        <w:spacing w:line="720" w:lineRule="auto"/>
        <w:rPr>
          <w:rFonts w:hint="eastAsia" w:eastAsia="黑体"/>
          <w:b/>
          <w:sz w:val="28"/>
        </w:rPr>
      </w:pPr>
    </w:p>
    <w:p w14:paraId="40D7793E">
      <w:pPr>
        <w:spacing w:line="720" w:lineRule="auto"/>
        <w:rPr>
          <w:rFonts w:eastAsia="黑体"/>
          <w:b/>
          <w:sz w:val="28"/>
        </w:rPr>
      </w:pPr>
      <w:r>
        <w:rPr>
          <w:rFonts w:hint="eastAsia" w:eastAsia="黑体"/>
          <w:b/>
          <w:sz w:val="28"/>
        </w:rPr>
        <w:t>合同编号：                          工程编号：</w:t>
      </w:r>
    </w:p>
    <w:p w14:paraId="4C470932">
      <w:pPr>
        <w:spacing w:line="720" w:lineRule="auto"/>
        <w:jc w:val="center"/>
        <w:rPr>
          <w:b/>
          <w:sz w:val="28"/>
        </w:rPr>
      </w:pPr>
    </w:p>
    <w:p w14:paraId="1B54166D">
      <w:pPr>
        <w:spacing w:line="720" w:lineRule="auto"/>
        <w:jc w:val="center"/>
        <w:rPr>
          <w:rFonts w:eastAsia="黑体"/>
          <w:b/>
          <w:bCs/>
          <w:spacing w:val="80"/>
          <w:sz w:val="48"/>
          <w:szCs w:val="48"/>
        </w:rPr>
      </w:pPr>
      <w:r>
        <w:rPr>
          <w:rFonts w:hint="eastAsia" w:eastAsia="黑体"/>
          <w:b/>
          <w:bCs/>
          <w:spacing w:val="80"/>
          <w:sz w:val="48"/>
          <w:szCs w:val="48"/>
        </w:rPr>
        <w:t>工程检测合同</w:t>
      </w:r>
    </w:p>
    <w:p w14:paraId="643D2D8F">
      <w:pPr>
        <w:spacing w:line="720" w:lineRule="auto"/>
        <w:jc w:val="center"/>
        <w:rPr>
          <w:b/>
          <w:sz w:val="84"/>
        </w:rPr>
      </w:pPr>
    </w:p>
    <w:p w14:paraId="4CF71192">
      <w:pPr>
        <w:spacing w:line="720" w:lineRule="auto"/>
        <w:jc w:val="center"/>
        <w:rPr>
          <w:b/>
          <w:sz w:val="84"/>
        </w:rPr>
      </w:pPr>
    </w:p>
    <w:p w14:paraId="35F90026">
      <w:pPr>
        <w:spacing w:line="720" w:lineRule="auto"/>
        <w:jc w:val="center"/>
        <w:rPr>
          <w:b/>
          <w:sz w:val="84"/>
        </w:rPr>
      </w:pPr>
    </w:p>
    <w:p w14:paraId="2919EB85">
      <w:pPr>
        <w:spacing w:line="720" w:lineRule="auto"/>
        <w:jc w:val="center"/>
      </w:pPr>
    </w:p>
    <w:p w14:paraId="0E6B57E5">
      <w:pPr>
        <w:wordWrap w:val="0"/>
        <w:spacing w:line="560" w:lineRule="exact"/>
        <w:jc w:val="left"/>
        <w:rPr>
          <w:rFonts w:ascii="仿宋" w:hAnsi="仿宋" w:eastAsia="仿宋" w:cs="仿宋"/>
          <w:color w:val="FF0000"/>
          <w:sz w:val="30"/>
          <w:szCs w:val="30"/>
          <w:u w:val="single"/>
          <w:lang w:bidi="en-US"/>
        </w:rPr>
      </w:pPr>
      <w:r>
        <w:rPr>
          <w:rFonts w:hint="eastAsia" w:ascii="仿宋" w:hAnsi="仿宋" w:eastAsia="仿宋" w:cs="仿宋"/>
          <w:spacing w:val="30"/>
          <w:sz w:val="30"/>
          <w:szCs w:val="30"/>
        </w:rPr>
        <w:t>工程名称：</w:t>
      </w:r>
      <w:r>
        <w:rPr>
          <w:rFonts w:hint="eastAsia" w:ascii="仿宋" w:hAnsi="仿宋" w:eastAsia="仿宋" w:cs="仿宋"/>
          <w:color w:val="000000" w:themeColor="text1"/>
          <w:spacing w:val="30"/>
          <w:sz w:val="30"/>
          <w:szCs w:val="30"/>
          <w:u w:val="single"/>
          <w:lang w:val="en-US" w:eastAsia="zh-CN"/>
          <w14:textFill>
            <w14:solidFill>
              <w14:schemeClr w14:val="tx1"/>
            </w14:solidFill>
          </w14:textFill>
        </w:rPr>
        <w:t>亳州市城市重点区域交通补短板项目-魏武大道（古泉路-北一环路）、州后街（新华路-魏武大道）、薛阁路（三曹路-魏武大道）、涡阳路（利辛路-和平路）、新华北路（和平路-香附路）质量检测</w:t>
      </w:r>
      <w:r>
        <w:rPr>
          <w:rFonts w:hint="eastAsia" w:ascii="仿宋" w:hAnsi="仿宋" w:eastAsia="仿宋" w:cs="仿宋"/>
          <w:color w:val="000000" w:themeColor="text1"/>
          <w:spacing w:val="30"/>
          <w:sz w:val="30"/>
          <w:szCs w:val="30"/>
          <w:u w:val="single"/>
          <w:shd w:val="clear"/>
          <w:lang w:val="en-US" w:eastAsia="zh-CN"/>
          <w14:textFill>
            <w14:solidFill>
              <w14:schemeClr w14:val="tx1"/>
            </w14:solidFill>
          </w14:textFill>
        </w:rPr>
        <w:t>项目</w:t>
      </w:r>
    </w:p>
    <w:p w14:paraId="28E81DF4">
      <w:pPr>
        <w:wordWrap w:val="0"/>
        <w:spacing w:line="560" w:lineRule="exact"/>
        <w:rPr>
          <w:rFonts w:ascii="仿宋" w:hAnsi="仿宋" w:eastAsia="仿宋" w:cs="仿宋"/>
          <w:spacing w:val="30"/>
          <w:sz w:val="30"/>
          <w:szCs w:val="30"/>
        </w:rPr>
      </w:pPr>
      <w:r>
        <w:rPr>
          <w:rFonts w:hint="eastAsia" w:ascii="仿宋" w:hAnsi="仿宋" w:eastAsia="仿宋" w:cs="仿宋"/>
          <w:spacing w:val="30"/>
          <w:sz w:val="30"/>
          <w:szCs w:val="30"/>
        </w:rPr>
        <w:t>委托单位(甲方)：</w:t>
      </w:r>
      <w:r>
        <w:rPr>
          <w:rFonts w:hint="eastAsia" w:ascii="仿宋" w:hAnsi="仿宋" w:eastAsia="仿宋" w:cs="仿宋"/>
          <w:spacing w:val="30"/>
          <w:sz w:val="30"/>
          <w:szCs w:val="30"/>
          <w:u w:val="single"/>
        </w:rPr>
        <w:t>亳州交控产业发展有限公司</w:t>
      </w:r>
    </w:p>
    <w:p w14:paraId="3477BF51">
      <w:pPr>
        <w:wordWrap w:val="0"/>
        <w:spacing w:line="560" w:lineRule="exact"/>
        <w:rPr>
          <w:rFonts w:hint="default" w:eastAsia="仿宋"/>
          <w:spacing w:val="30"/>
          <w:sz w:val="30"/>
          <w:szCs w:val="30"/>
          <w:u w:val="single"/>
        </w:rPr>
      </w:pPr>
      <w:r>
        <w:rPr>
          <w:rFonts w:hint="eastAsia" w:ascii="仿宋" w:hAnsi="仿宋" w:eastAsia="仿宋" w:cs="仿宋"/>
          <w:spacing w:val="30"/>
          <w:sz w:val="30"/>
          <w:szCs w:val="30"/>
        </w:rPr>
        <w:t>检测单位(乙方)：</w:t>
      </w:r>
      <w:r>
        <w:rPr>
          <w:rFonts w:hint="eastAsia" w:ascii="仿宋" w:hAnsi="仿宋" w:eastAsia="仿宋" w:cs="仿宋"/>
          <w:spacing w:val="30"/>
          <w:sz w:val="30"/>
          <w:szCs w:val="30"/>
          <w:u w:val="single"/>
          <w:lang w:val="en-US" w:eastAsia="zh-CN"/>
        </w:rPr>
        <w:t xml:space="preserve">                     </w:t>
      </w:r>
    </w:p>
    <w:p w14:paraId="6B69F06E">
      <w:pPr>
        <w:spacing w:line="720" w:lineRule="auto"/>
        <w:rPr>
          <w:sz w:val="36"/>
          <w:u w:val="single"/>
        </w:rPr>
      </w:pPr>
    </w:p>
    <w:p w14:paraId="7BDD2CBA">
      <w:pPr>
        <w:spacing w:line="560" w:lineRule="exact"/>
        <w:rPr>
          <w:b/>
          <w:sz w:val="28"/>
        </w:rPr>
      </w:pPr>
    </w:p>
    <w:p w14:paraId="789E9DB0">
      <w:pPr>
        <w:spacing w:line="560" w:lineRule="exact"/>
        <w:rPr>
          <w:b/>
          <w:sz w:val="28"/>
        </w:rPr>
      </w:pPr>
    </w:p>
    <w:p w14:paraId="50EFCEC1">
      <w:pPr>
        <w:spacing w:beforeLines="50" w:beforeAutospacing="1" w:afterLines="30" w:afterAutospacing="1" w:line="400" w:lineRule="exact"/>
        <w:rPr>
          <w:rFonts w:ascii="宋体" w:hAnsi="宋体"/>
          <w:sz w:val="24"/>
        </w:rPr>
        <w:sectPr>
          <w:headerReference r:id="rId5" w:type="default"/>
          <w:footerReference r:id="rId6" w:type="default"/>
          <w:pgSz w:w="11906" w:h="16838"/>
          <w:pgMar w:top="1418" w:right="1021" w:bottom="1247" w:left="1474" w:header="851" w:footer="992" w:gutter="0"/>
          <w:pgNumType w:fmt="decimal" w:start="1"/>
          <w:cols w:space="720" w:num="1"/>
          <w:docGrid w:type="lines" w:linePitch="312" w:charSpace="0"/>
        </w:sectPr>
      </w:pPr>
    </w:p>
    <w:p w14:paraId="1DF6728A">
      <w:pPr>
        <w:spacing w:line="360" w:lineRule="auto"/>
        <w:jc w:val="both"/>
        <w:rPr>
          <w:rFonts w:hint="eastAsia" w:ascii="仿宋" w:hAnsi="仿宋" w:eastAsia="仿宋" w:cs="仿宋"/>
          <w:sz w:val="28"/>
          <w:szCs w:val="28"/>
        </w:rPr>
      </w:pPr>
    </w:p>
    <w:p w14:paraId="40167A58">
      <w:pPr>
        <w:spacing w:line="480" w:lineRule="exact"/>
        <w:rPr>
          <w:rFonts w:ascii="仿宋" w:hAnsi="仿宋" w:eastAsia="仿宋" w:cs="仿宋"/>
          <w:sz w:val="28"/>
          <w:szCs w:val="28"/>
          <w:u w:val="single"/>
        </w:rPr>
      </w:pPr>
      <w:r>
        <w:rPr>
          <w:rFonts w:hint="eastAsia" w:ascii="仿宋" w:hAnsi="仿宋" w:eastAsia="仿宋" w:cs="仿宋"/>
          <w:sz w:val="28"/>
          <w:szCs w:val="28"/>
        </w:rPr>
        <w:t>委托单位(甲方)：</w:t>
      </w:r>
      <w:r>
        <w:rPr>
          <w:rFonts w:hint="eastAsia" w:ascii="仿宋" w:hAnsi="仿宋" w:eastAsia="仿宋" w:cs="仿宋"/>
          <w:sz w:val="28"/>
          <w:szCs w:val="28"/>
          <w:u w:val="single"/>
          <w:lang w:bidi="en-US"/>
        </w:rPr>
        <w:t>亳州交控产业发展有限公司</w:t>
      </w:r>
    </w:p>
    <w:p w14:paraId="30A34E1D">
      <w:pPr>
        <w:spacing w:line="480" w:lineRule="exact"/>
        <w:rPr>
          <w:rFonts w:hint="default" w:ascii="仿宋" w:hAnsi="仿宋" w:eastAsia="仿宋" w:cs="仿宋"/>
          <w:sz w:val="28"/>
          <w:szCs w:val="28"/>
          <w:u w:val="single"/>
          <w:lang w:val="en-US" w:eastAsia="zh-CN"/>
        </w:rPr>
      </w:pPr>
      <w:r>
        <w:rPr>
          <w:rFonts w:hint="eastAsia" w:ascii="仿宋" w:hAnsi="仿宋" w:eastAsia="仿宋" w:cs="仿宋"/>
          <w:sz w:val="28"/>
          <w:szCs w:val="28"/>
        </w:rPr>
        <w:t>检测单位(乙方)：</w:t>
      </w:r>
      <w:r>
        <w:rPr>
          <w:rFonts w:hint="eastAsia" w:ascii="仿宋" w:hAnsi="仿宋" w:eastAsia="仿宋" w:cs="仿宋"/>
          <w:sz w:val="28"/>
          <w:szCs w:val="28"/>
          <w:u w:val="single"/>
          <w:lang w:val="en-US" w:eastAsia="zh-CN"/>
        </w:rPr>
        <w:t xml:space="preserve">                          </w:t>
      </w:r>
    </w:p>
    <w:p w14:paraId="098B6389">
      <w:pPr>
        <w:spacing w:line="480" w:lineRule="exact"/>
        <w:ind w:firstLine="560" w:firstLineChars="200"/>
        <w:rPr>
          <w:rFonts w:ascii="仿宋" w:hAnsi="仿宋" w:eastAsia="仿宋" w:cs="仿宋"/>
          <w:sz w:val="28"/>
          <w:szCs w:val="28"/>
          <w:u w:val="single"/>
          <w:lang w:bidi="en-US"/>
        </w:rPr>
      </w:pPr>
      <w:r>
        <w:rPr>
          <w:rFonts w:hint="eastAsia" w:ascii="仿宋" w:hAnsi="仿宋" w:eastAsia="仿宋" w:cs="仿宋"/>
          <w:sz w:val="28"/>
          <w:szCs w:val="28"/>
        </w:rPr>
        <w:t>为进一步明确双方的责任，确保合同的顺利履行，根据《中华人民共和国</w:t>
      </w:r>
      <w:r>
        <w:rPr>
          <w:rFonts w:hint="eastAsia" w:ascii="仿宋" w:hAnsi="仿宋" w:eastAsia="仿宋" w:cs="仿宋"/>
          <w:color w:val="000000" w:themeColor="text1"/>
          <w:sz w:val="28"/>
          <w:szCs w:val="28"/>
          <w:lang w:val="en-US" w:eastAsia="zh-CN"/>
          <w14:textFill>
            <w14:solidFill>
              <w14:schemeClr w14:val="tx1"/>
            </w14:solidFill>
          </w14:textFill>
        </w:rPr>
        <w:t>民法典</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sz w:val="28"/>
          <w:szCs w:val="28"/>
          <w:lang w:val="en-US" w:eastAsia="zh-CN"/>
        </w:rPr>
        <w:t>亳州市城市重点区域交通补短板项目-魏武大道（古泉路-北一环路）、州后街（新华路-魏武大道）、薛阁路（三曹路-魏武大道）、涡阳路（利辛路-和平路）、新华北路（和平路-香附路）质量检测项目</w:t>
      </w:r>
      <w:r>
        <w:rPr>
          <w:rFonts w:hint="eastAsia" w:ascii="仿宋" w:hAnsi="仿宋" w:eastAsia="仿宋" w:cs="仿宋"/>
          <w:sz w:val="28"/>
          <w:szCs w:val="28"/>
        </w:rPr>
        <w:t>，项目编号：</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》规定的</w:t>
      </w:r>
      <w:r>
        <w:rPr>
          <w:rFonts w:hint="eastAsia" w:ascii="仿宋" w:hAnsi="仿宋" w:eastAsia="仿宋" w:cs="仿宋"/>
          <w:color w:val="auto"/>
          <w:sz w:val="28"/>
          <w:szCs w:val="28"/>
        </w:rPr>
        <w:t>招标文件、中标（成交）通知书</w:t>
      </w:r>
      <w:r>
        <w:rPr>
          <w:rFonts w:hint="eastAsia" w:ascii="仿宋" w:hAnsi="仿宋" w:eastAsia="仿宋" w:cs="仿宋"/>
          <w:sz w:val="28"/>
          <w:szCs w:val="28"/>
        </w:rPr>
        <w:t>等相关资料的要求，经甲乙双方充分协商，特订立本协议，以便共同遵守。</w:t>
      </w:r>
    </w:p>
    <w:p w14:paraId="1490519C">
      <w:pPr>
        <w:spacing w:line="500" w:lineRule="exact"/>
        <w:outlineLvl w:val="0"/>
        <w:rPr>
          <w:rFonts w:ascii="仿宋" w:hAnsi="仿宋" w:eastAsia="仿宋" w:cs="仿宋"/>
          <w:b/>
          <w:bCs/>
          <w:sz w:val="28"/>
          <w:szCs w:val="28"/>
        </w:rPr>
      </w:pPr>
      <w:r>
        <w:rPr>
          <w:rFonts w:hint="eastAsia" w:ascii="仿宋" w:hAnsi="仿宋" w:eastAsia="仿宋" w:cs="仿宋"/>
          <w:b/>
          <w:bCs/>
          <w:sz w:val="28"/>
          <w:szCs w:val="28"/>
        </w:rPr>
        <w:t>一、工程概况</w:t>
      </w:r>
    </w:p>
    <w:p w14:paraId="70131EFC">
      <w:pPr>
        <w:spacing w:line="480" w:lineRule="exact"/>
        <w:ind w:firstLine="560" w:firstLineChars="200"/>
        <w:rPr>
          <w:rFonts w:hint="eastAsia" w:ascii="仿宋" w:hAnsi="仿宋" w:eastAsia="仿宋" w:cs="仿宋"/>
          <w:sz w:val="28"/>
          <w:szCs w:val="28"/>
          <w:lang w:bidi="en-US"/>
        </w:rPr>
      </w:pPr>
      <w:r>
        <w:rPr>
          <w:rFonts w:hint="eastAsia" w:ascii="仿宋" w:hAnsi="仿宋" w:eastAsia="仿宋" w:cs="仿宋"/>
          <w:sz w:val="28"/>
          <w:szCs w:val="28"/>
          <w:lang w:val="en-US" w:eastAsia="zh-CN"/>
        </w:rPr>
        <w:t>亳州市城市重点区域交通补短板项目-魏武大道（古泉路-北一环路）、州后街（新华路-魏武大道）、薛阁路（三曹路-魏武大道）、涡阳路（利辛路-和平路）、新华北路（和平路-香附路）质量检测项目，其中魏武大道（古泉路-北一环路）道路等级为为城市主干路，长2300m、宽60m；州后街（新华路-魏武大道）道路等级为城市支路，长698m、宽20m；薛阁路（三曹路-魏武大道）道路等级为城市支路，长777m、宽14m；涡阳路（利辛路-和平路）道路等级为城市次干路，长1200m、宽24m；新华北路（和平路-香附路）道路等级为城市主干路，长1900m、宽40m更新改造工程五个项目，需要单独办理相关手续和资料，建设总投资约8100万。</w:t>
      </w:r>
    </w:p>
    <w:p w14:paraId="20234A39">
      <w:pPr>
        <w:spacing w:line="500" w:lineRule="exact"/>
        <w:outlineLvl w:val="0"/>
        <w:rPr>
          <w:rFonts w:ascii="仿宋" w:hAnsi="仿宋" w:eastAsia="仿宋" w:cs="仿宋"/>
          <w:b/>
          <w:bCs/>
          <w:sz w:val="28"/>
          <w:szCs w:val="28"/>
        </w:rPr>
      </w:pPr>
      <w:r>
        <w:rPr>
          <w:rFonts w:hint="eastAsia" w:ascii="仿宋" w:hAnsi="仿宋" w:eastAsia="仿宋" w:cs="仿宋"/>
          <w:b/>
          <w:bCs/>
          <w:sz w:val="28"/>
          <w:szCs w:val="28"/>
        </w:rPr>
        <w:t>二、检测内容</w:t>
      </w:r>
    </w:p>
    <w:p w14:paraId="2E4D0712">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工程质量检测范围包括但不限于：负责本项目路基、路面、排水、人行道、绿化、交通安全设施等工程施工准备阶段、施工阶段、缺陷责任期阶段的过程检测等，以及建设单位要求的其他检测项目；乙方按检测规范和招标文件要求的内容进行检测，具体要求详见附件1采购需求。</w:t>
      </w:r>
    </w:p>
    <w:p w14:paraId="7DCE5680">
      <w:pPr>
        <w:spacing w:line="500" w:lineRule="exact"/>
        <w:outlineLvl w:val="0"/>
        <w:rPr>
          <w:rFonts w:ascii="仿宋" w:hAnsi="仿宋" w:eastAsia="仿宋" w:cs="仿宋"/>
          <w:b/>
          <w:bCs/>
          <w:sz w:val="28"/>
          <w:szCs w:val="28"/>
        </w:rPr>
      </w:pPr>
      <w:r>
        <w:rPr>
          <w:rFonts w:hint="eastAsia" w:ascii="仿宋" w:hAnsi="仿宋" w:eastAsia="仿宋" w:cs="仿宋"/>
          <w:b/>
          <w:bCs/>
          <w:sz w:val="28"/>
          <w:szCs w:val="28"/>
        </w:rPr>
        <w:t>三、检测具体内容及要求</w:t>
      </w:r>
    </w:p>
    <w:p w14:paraId="3378C809">
      <w:pPr>
        <w:adjustRightInd w:val="0"/>
        <w:snapToGrid w:val="0"/>
        <w:spacing w:line="540" w:lineRule="exact"/>
        <w:ind w:firstLine="560" w:firstLineChars="200"/>
        <w:rPr>
          <w:rFonts w:ascii="宋体"/>
          <w:sz w:val="24"/>
        </w:rPr>
      </w:pPr>
      <w:r>
        <w:rPr>
          <w:rFonts w:hint="eastAsia" w:ascii="仿宋" w:hAnsi="仿宋" w:eastAsia="仿宋" w:cs="仿宋"/>
          <w:sz w:val="28"/>
          <w:szCs w:val="28"/>
        </w:rPr>
        <w:t>1.甲方委托乙方进行技术服务的内容如下：</w:t>
      </w:r>
    </w:p>
    <w:p w14:paraId="65C392E5">
      <w:pPr>
        <w:adjustRightInd w:val="0"/>
        <w:snapToGrid w:val="0"/>
        <w:spacing w:line="480" w:lineRule="exact"/>
        <w:ind w:firstLine="560" w:firstLineChars="200"/>
        <w:outlineLvl w:val="0"/>
        <w:rPr>
          <w:rFonts w:ascii="仿宋" w:hAnsi="仿宋" w:eastAsia="仿宋" w:cs="仿宋"/>
          <w:sz w:val="28"/>
          <w:szCs w:val="28"/>
        </w:rPr>
      </w:pPr>
      <w:r>
        <w:rPr>
          <w:rFonts w:hint="eastAsia" w:ascii="仿宋" w:hAnsi="仿宋" w:eastAsia="仿宋" w:cs="仿宋"/>
          <w:sz w:val="28"/>
          <w:szCs w:val="28"/>
        </w:rPr>
        <w:t>（1）工作内容</w:t>
      </w:r>
    </w:p>
    <w:p w14:paraId="4D518822">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根据相关政策法规及技术规范的要求，乙方在规定的时间内完成</w:t>
      </w:r>
      <w:r>
        <w:rPr>
          <w:rFonts w:hint="eastAsia" w:ascii="仿宋" w:hAnsi="仿宋" w:eastAsia="仿宋" w:cs="仿宋"/>
          <w:sz w:val="28"/>
          <w:szCs w:val="28"/>
          <w:lang w:val="en-US" w:eastAsia="zh-CN"/>
        </w:rPr>
        <w:t>亳州市城市重点区域交通补短板项目-魏武大道（古泉路-北一环路）、州后街（新华路-魏武大道）、薛阁路（三曹路-魏武大道）、涡阳路（利辛路-和平路）、新华北路（和平路-香附路）</w:t>
      </w:r>
      <w:r>
        <w:rPr>
          <w:rFonts w:hint="eastAsia" w:ascii="仿宋" w:hAnsi="仿宋" w:eastAsia="仿宋" w:cs="仿宋"/>
          <w:sz w:val="28"/>
          <w:szCs w:val="28"/>
        </w:rPr>
        <w:t>更新改造工程质量检测的路基、路面、排水、人行道、绿化、交通安全设施等工程施工准备阶段、施工阶段、缺陷责任期阶段的过程检测等，以及建设单位要求的其他检测项目；乙方按检测规范和招标文件要求的内容进行检测。</w:t>
      </w:r>
    </w:p>
    <w:p w14:paraId="3DBBFF7F">
      <w:pPr>
        <w:adjustRightInd w:val="0"/>
        <w:snapToGrid w:val="0"/>
        <w:spacing w:line="480" w:lineRule="exact"/>
        <w:ind w:firstLine="560" w:firstLineChars="200"/>
        <w:outlineLvl w:val="0"/>
        <w:rPr>
          <w:rFonts w:ascii="仿宋" w:hAnsi="仿宋" w:eastAsia="仿宋" w:cs="仿宋"/>
          <w:sz w:val="24"/>
        </w:rPr>
      </w:pPr>
      <w:r>
        <w:rPr>
          <w:rFonts w:hint="eastAsia" w:ascii="仿宋" w:hAnsi="仿宋" w:eastAsia="仿宋" w:cs="仿宋"/>
          <w:sz w:val="28"/>
          <w:szCs w:val="28"/>
        </w:rPr>
        <w:t>（2）成果文件</w:t>
      </w:r>
    </w:p>
    <w:p w14:paraId="30280AB2">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亳州市城市重点区域交通补短板项目-魏武大道（古泉路-北一环路）、州后街（新华路-魏武大道）、薛阁路（三曹路-魏武大道）、涡阳路（利辛路-和平路）、新华北路（和平路-香附路）质量检测项目</w:t>
      </w:r>
      <w:r>
        <w:rPr>
          <w:rFonts w:hint="eastAsia" w:ascii="仿宋" w:hAnsi="仿宋" w:eastAsia="仿宋" w:cs="仿宋"/>
          <w:sz w:val="28"/>
          <w:szCs w:val="28"/>
        </w:rPr>
        <w:t>的道路检测报告，检测报告壹式叁份。</w:t>
      </w:r>
    </w:p>
    <w:p w14:paraId="56FC08A7">
      <w:pPr>
        <w:adjustRightInd w:val="0"/>
        <w:snapToGrid w:val="0"/>
        <w:spacing w:line="480" w:lineRule="exact"/>
        <w:ind w:firstLine="560" w:firstLineChars="200"/>
        <w:outlineLvl w:val="0"/>
        <w:rPr>
          <w:rFonts w:ascii="仿宋" w:hAnsi="仿宋" w:eastAsia="仿宋" w:cs="仿宋"/>
          <w:bCs/>
          <w:sz w:val="28"/>
          <w:szCs w:val="28"/>
        </w:rPr>
      </w:pPr>
      <w:r>
        <w:rPr>
          <w:rFonts w:hint="eastAsia" w:ascii="仿宋" w:hAnsi="仿宋" w:eastAsia="仿宋" w:cs="仿宋"/>
          <w:bCs/>
          <w:sz w:val="28"/>
          <w:szCs w:val="28"/>
        </w:rPr>
        <w:t>（3）质量要求</w:t>
      </w:r>
    </w:p>
    <w:p w14:paraId="616078CC">
      <w:pPr>
        <w:spacing w:line="480" w:lineRule="exact"/>
        <w:ind w:firstLine="560" w:firstLineChars="200"/>
        <w:rPr>
          <w:rFonts w:ascii="仿宋" w:hAnsi="仿宋" w:eastAsia="仿宋" w:cs="仿宋"/>
          <w:bCs/>
          <w:sz w:val="28"/>
          <w:szCs w:val="28"/>
        </w:rPr>
      </w:pPr>
      <w:r>
        <w:rPr>
          <w:rFonts w:hint="eastAsia" w:ascii="仿宋" w:hAnsi="仿宋" w:eastAsia="仿宋" w:cs="仿宋"/>
          <w:bCs/>
          <w:sz w:val="28"/>
          <w:szCs w:val="28"/>
        </w:rPr>
        <w:t>乙方须保证所提供的检测报告数据真实可靠，满足甲方的检测需求。</w:t>
      </w:r>
    </w:p>
    <w:p w14:paraId="17F5510A">
      <w:pPr>
        <w:adjustRightInd w:val="0"/>
        <w:snapToGrid w:val="0"/>
        <w:spacing w:line="480" w:lineRule="exact"/>
        <w:ind w:firstLine="560" w:firstLineChars="200"/>
        <w:outlineLvl w:val="0"/>
        <w:rPr>
          <w:rFonts w:ascii="仿宋" w:hAnsi="仿宋" w:eastAsia="仿宋" w:cs="仿宋"/>
          <w:bCs/>
          <w:sz w:val="28"/>
          <w:szCs w:val="28"/>
        </w:rPr>
      </w:pPr>
      <w:r>
        <w:rPr>
          <w:rFonts w:hint="eastAsia" w:ascii="仿宋" w:hAnsi="仿宋" w:eastAsia="仿宋" w:cs="仿宋"/>
          <w:bCs/>
          <w:sz w:val="28"/>
          <w:szCs w:val="28"/>
        </w:rPr>
        <w:t>（4）检测要求</w:t>
      </w:r>
    </w:p>
    <w:p w14:paraId="0EAC4AA7">
      <w:pPr>
        <w:spacing w:line="480" w:lineRule="exact"/>
        <w:ind w:firstLine="560" w:firstLineChars="200"/>
        <w:rPr>
          <w:rFonts w:ascii="仿宋" w:hAnsi="仿宋" w:eastAsia="仿宋" w:cs="仿宋"/>
          <w:sz w:val="28"/>
          <w:szCs w:val="28"/>
        </w:rPr>
      </w:pPr>
      <w:r>
        <w:rPr>
          <w:rFonts w:ascii="仿宋" w:hAnsi="仿宋" w:eastAsia="仿宋" w:cs="仿宋"/>
          <w:sz w:val="28"/>
          <w:szCs w:val="28"/>
        </w:rPr>
        <w:t>①</w:t>
      </w:r>
      <w:r>
        <w:rPr>
          <w:rFonts w:hint="eastAsia" w:ascii="仿宋" w:hAnsi="仿宋" w:eastAsia="仿宋" w:cs="仿宋"/>
          <w:sz w:val="28"/>
          <w:szCs w:val="28"/>
        </w:rPr>
        <w:t>乙方须编制切实可行的检测方案，并严格按方案开展检测工作。</w:t>
      </w:r>
    </w:p>
    <w:p w14:paraId="6262D9D0">
      <w:pPr>
        <w:spacing w:line="480" w:lineRule="exact"/>
        <w:ind w:firstLine="560" w:firstLineChars="200"/>
        <w:rPr>
          <w:rFonts w:ascii="仿宋" w:hAnsi="仿宋" w:eastAsia="仿宋" w:cs="仿宋"/>
          <w:sz w:val="28"/>
          <w:szCs w:val="28"/>
        </w:rPr>
      </w:pPr>
      <w:r>
        <w:rPr>
          <w:rFonts w:ascii="仿宋" w:hAnsi="仿宋" w:eastAsia="仿宋" w:cs="仿宋"/>
          <w:sz w:val="28"/>
          <w:szCs w:val="28"/>
        </w:rPr>
        <w:t>②</w:t>
      </w:r>
      <w:r>
        <w:rPr>
          <w:rFonts w:hint="eastAsia" w:ascii="仿宋" w:hAnsi="仿宋" w:eastAsia="仿宋" w:cs="仿宋"/>
          <w:sz w:val="28"/>
          <w:szCs w:val="28"/>
        </w:rPr>
        <w:t>乙方按工程需要和投标文件承诺配备工程技术人员和设备仪器并保持人员相对稳定，按经审批过的检测方案开展工作，否则愿承担由此带来的一切后果。</w:t>
      </w:r>
    </w:p>
    <w:p w14:paraId="68EF66FF">
      <w:pPr>
        <w:spacing w:line="480" w:lineRule="exact"/>
        <w:ind w:firstLine="560" w:firstLineChars="200"/>
        <w:rPr>
          <w:rFonts w:ascii="仿宋" w:hAnsi="仿宋" w:eastAsia="仿宋" w:cs="仿宋"/>
          <w:sz w:val="28"/>
          <w:szCs w:val="28"/>
        </w:rPr>
      </w:pPr>
      <w:r>
        <w:rPr>
          <w:rFonts w:ascii="仿宋" w:hAnsi="仿宋" w:eastAsia="仿宋" w:cs="仿宋"/>
          <w:sz w:val="28"/>
          <w:szCs w:val="28"/>
        </w:rPr>
        <w:t>③</w:t>
      </w:r>
      <w:r>
        <w:rPr>
          <w:rFonts w:hint="eastAsia" w:ascii="仿宋" w:hAnsi="仿宋" w:eastAsia="仿宋" w:cs="仿宋"/>
          <w:sz w:val="28"/>
          <w:szCs w:val="28"/>
        </w:rPr>
        <w:t>乙方应按安全作业规定在现场安全检测作业，承担现场作业人员现场和路途的安全责任。</w:t>
      </w:r>
    </w:p>
    <w:p w14:paraId="1C82D4EE">
      <w:pPr>
        <w:adjustRightInd w:val="0"/>
        <w:snapToGrid w:val="0"/>
        <w:spacing w:line="480" w:lineRule="exact"/>
        <w:ind w:firstLine="560" w:firstLineChars="200"/>
        <w:outlineLvl w:val="0"/>
        <w:rPr>
          <w:rFonts w:ascii="仿宋" w:hAnsi="仿宋" w:eastAsia="仿宋" w:cs="仿宋"/>
          <w:bCs/>
          <w:sz w:val="28"/>
          <w:szCs w:val="28"/>
        </w:rPr>
      </w:pPr>
      <w:r>
        <w:rPr>
          <w:rFonts w:hint="eastAsia" w:ascii="仿宋" w:hAnsi="仿宋" w:eastAsia="仿宋" w:cs="仿宋"/>
          <w:bCs/>
          <w:sz w:val="28"/>
          <w:szCs w:val="28"/>
        </w:rPr>
        <w:t>（5）人员配备要求</w:t>
      </w:r>
    </w:p>
    <w:p w14:paraId="3255041D">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签订合同之日起3天内，乙方必须按甲方要求将人员配备到位，否则，甲方有权终止合同，且乙方应赔偿甲方因此遭受的全部损失（包括但不限于甲方本次招标已经发生和即将发生的费用、重新招标发生的费用、重新招标的中标价高于本次招标中标价的差额）。</w:t>
      </w:r>
    </w:p>
    <w:p w14:paraId="0FC81E4C">
      <w:pPr>
        <w:adjustRightInd w:val="0"/>
        <w:snapToGrid w:val="0"/>
        <w:spacing w:line="480" w:lineRule="exact"/>
        <w:ind w:firstLine="560" w:firstLineChars="200"/>
        <w:rPr>
          <w:rFonts w:ascii="仿宋" w:hAnsi="仿宋" w:eastAsia="仿宋" w:cs="仿宋"/>
          <w:b/>
          <w:bCs/>
          <w:sz w:val="28"/>
          <w:szCs w:val="28"/>
        </w:rPr>
      </w:pPr>
      <w:r>
        <w:rPr>
          <w:rFonts w:hint="eastAsia" w:ascii="仿宋" w:hAnsi="仿宋" w:eastAsia="仿宋" w:cs="仿宋"/>
          <w:sz w:val="28"/>
          <w:szCs w:val="28"/>
        </w:rPr>
        <w:t>2.乙方应按下列要求完成技术工作：</w:t>
      </w:r>
    </w:p>
    <w:p w14:paraId="1145CEE4">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（1）技术服务地点：</w:t>
      </w:r>
      <w:r>
        <w:rPr>
          <w:rFonts w:hint="eastAsia" w:ascii="仿宋" w:hAnsi="仿宋" w:eastAsia="仿宋" w:cs="仿宋"/>
          <w:sz w:val="28"/>
          <w:szCs w:val="28"/>
          <w:u w:val="none"/>
          <w:lang w:bidi="en-US"/>
        </w:rPr>
        <w:t>亳州市城市重点区域交通补短板项目</w:t>
      </w:r>
      <w:r>
        <w:rPr>
          <w:rFonts w:hint="eastAsia" w:ascii="仿宋" w:hAnsi="仿宋" w:eastAsia="仿宋" w:cs="仿宋"/>
          <w:color w:val="000000" w:themeColor="text1"/>
          <w:sz w:val="28"/>
          <w:szCs w:val="28"/>
          <w:u w:val="none"/>
          <w:lang w:val="en-US" w:eastAsia="zh-CN"/>
          <w14:textFill>
            <w14:solidFill>
              <w14:schemeClr w14:val="tx1"/>
            </w14:solidFill>
          </w14:textFill>
        </w:rPr>
        <w:t>州后街、薛阁路、魏武大道、涡阳路、新华北路</w:t>
      </w:r>
      <w:r>
        <w:rPr>
          <w:rFonts w:hint="eastAsia" w:ascii="仿宋" w:hAnsi="仿宋" w:eastAsia="仿宋" w:cs="仿宋"/>
          <w:sz w:val="28"/>
          <w:szCs w:val="28"/>
          <w:u w:val="none"/>
          <w:lang w:bidi="en-US"/>
        </w:rPr>
        <w:t>更新改造</w:t>
      </w:r>
      <w:r>
        <w:rPr>
          <w:rFonts w:hint="eastAsia" w:ascii="仿宋" w:hAnsi="仿宋" w:eastAsia="仿宋" w:cs="仿宋"/>
          <w:sz w:val="28"/>
          <w:szCs w:val="28"/>
          <w:u w:val="none"/>
        </w:rPr>
        <w:t>工程项目所在地</w:t>
      </w:r>
      <w:r>
        <w:rPr>
          <w:rFonts w:hint="eastAsia" w:ascii="仿宋" w:hAnsi="仿宋" w:eastAsia="仿宋" w:cs="仿宋"/>
          <w:sz w:val="28"/>
          <w:szCs w:val="28"/>
        </w:rPr>
        <w:t>。</w:t>
      </w:r>
    </w:p>
    <w:p w14:paraId="53CCA79B">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（2）技术服务进度、期限：</w:t>
      </w:r>
      <w:r>
        <w:rPr>
          <w:rFonts w:hint="eastAsia" w:ascii="仿宋" w:hAnsi="仿宋" w:eastAsia="仿宋" w:cs="仿宋"/>
          <w:sz w:val="28"/>
          <w:szCs w:val="28"/>
          <w:highlight w:val="yellow"/>
        </w:rPr>
        <w:t>自合同签订之日起</w:t>
      </w:r>
      <w:r>
        <w:rPr>
          <w:rFonts w:hint="eastAsia" w:ascii="仿宋" w:hAnsi="仿宋" w:eastAsia="仿宋" w:cs="仿宋"/>
          <w:sz w:val="28"/>
          <w:szCs w:val="28"/>
          <w:highlight w:val="yellow"/>
          <w:lang w:val="en-US" w:eastAsia="zh-CN"/>
        </w:rPr>
        <w:t xml:space="preserve"> </w:t>
      </w:r>
      <w:r>
        <w:rPr>
          <w:rFonts w:hint="eastAsia" w:ascii="仿宋" w:hAnsi="仿宋" w:eastAsia="仿宋" w:cs="仿宋"/>
          <w:sz w:val="28"/>
          <w:szCs w:val="28"/>
          <w:highlight w:val="yellow"/>
          <w:u w:val="single"/>
          <w:lang w:val="en-US" w:eastAsia="zh-CN"/>
        </w:rPr>
        <w:t xml:space="preserve">   </w:t>
      </w:r>
      <w:r>
        <w:rPr>
          <w:rFonts w:hint="eastAsia" w:ascii="仿宋" w:hAnsi="仿宋" w:eastAsia="仿宋" w:cs="仿宋"/>
          <w:sz w:val="28"/>
          <w:szCs w:val="28"/>
          <w:highlight w:val="yellow"/>
        </w:rPr>
        <w:t>日历天（含施工期和缺陷责任期）</w:t>
      </w:r>
      <w:r>
        <w:rPr>
          <w:rFonts w:hint="eastAsia" w:ascii="仿宋" w:hAnsi="仿宋" w:eastAsia="仿宋" w:cs="仿宋"/>
          <w:sz w:val="28"/>
          <w:szCs w:val="28"/>
        </w:rPr>
        <w:t>，具体以实际完成项目检测及竣工验收等工作为准；分为</w:t>
      </w:r>
      <w:r>
        <w:rPr>
          <w:rFonts w:hint="eastAsia" w:ascii="仿宋" w:hAnsi="仿宋" w:eastAsia="仿宋" w:cs="仿宋"/>
          <w:sz w:val="28"/>
          <w:szCs w:val="28"/>
          <w:lang w:val="en-US" w:eastAsia="zh-CN"/>
        </w:rPr>
        <w:t>五</w:t>
      </w:r>
      <w:r>
        <w:rPr>
          <w:rFonts w:hint="eastAsia" w:ascii="仿宋" w:hAnsi="仿宋" w:eastAsia="仿宋" w:cs="仿宋"/>
          <w:sz w:val="28"/>
          <w:szCs w:val="28"/>
        </w:rPr>
        <w:t>条道路分别进行质量检测，具体检测时间以甲方根据现场实际情况要求乙方进场检测。</w:t>
      </w:r>
    </w:p>
    <w:p w14:paraId="19D7CEEF">
      <w:pPr>
        <w:adjustRightInd w:val="0"/>
        <w:snapToGrid w:val="0"/>
        <w:spacing w:line="48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（3）项目负责人：</w:t>
      </w:r>
    </w:p>
    <w:p w14:paraId="225D366E">
      <w:pPr>
        <w:adjustRightInd w:val="0"/>
        <w:snapToGrid w:val="0"/>
        <w:spacing w:line="480" w:lineRule="exact"/>
        <w:ind w:firstLine="560" w:firstLineChars="200"/>
        <w:rPr>
          <w:rFonts w:ascii="仿宋" w:hAnsi="仿宋" w:eastAsia="仿宋" w:cs="仿宋"/>
          <w:b/>
          <w:bCs/>
          <w:sz w:val="28"/>
          <w:szCs w:val="28"/>
        </w:rPr>
      </w:pPr>
      <w:r>
        <w:rPr>
          <w:rFonts w:hint="eastAsia" w:ascii="仿宋" w:hAnsi="仿宋" w:eastAsia="仿宋" w:cs="仿宋"/>
          <w:sz w:val="28"/>
          <w:szCs w:val="28"/>
        </w:rPr>
        <w:t>3.为保证乙方有效进行技术服务工作，甲方应当向乙方提供下列工作条件和协作事项：</w:t>
      </w:r>
    </w:p>
    <w:p w14:paraId="575DC48E">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（1）提供技术资料：设计图纸（含审图意见、设计变更、施工变更联系单）、地质勘察报告及施工质保资料。</w:t>
      </w:r>
    </w:p>
    <w:p w14:paraId="476419DB">
      <w:pPr>
        <w:adjustRightInd w:val="0"/>
        <w:snapToGrid w:val="0"/>
        <w:spacing w:line="480" w:lineRule="exact"/>
        <w:ind w:firstLine="560" w:firstLineChars="200"/>
        <w:rPr>
          <w:rFonts w:ascii="宋体"/>
          <w:sz w:val="24"/>
        </w:rPr>
      </w:pPr>
      <w:r>
        <w:rPr>
          <w:rFonts w:hint="eastAsia" w:ascii="仿宋" w:hAnsi="仿宋" w:eastAsia="仿宋" w:cs="仿宋"/>
          <w:sz w:val="28"/>
          <w:szCs w:val="28"/>
        </w:rPr>
        <w:t>（2）提供工作条件：现场具备检测条件。</w:t>
      </w:r>
    </w:p>
    <w:p w14:paraId="0A265F97">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4.乙方必须按检测相关规范要求进行现场检测，确保其各项检测数据真实有效，并能准确反映检测项目的质量情况，对本公司出具的检测报告负法律责任。</w:t>
      </w:r>
    </w:p>
    <w:p w14:paraId="07EF2491">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5.双方确定本合同有效期内，乙方利用甲方提供的技术资料和工作条件所完的新的技术成果，归（甲、乙双）方所有。</w:t>
      </w:r>
    </w:p>
    <w:p w14:paraId="4BF0F2EB">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6.双方按以下约定承担各自的违约责任：</w:t>
      </w:r>
    </w:p>
    <w:p w14:paraId="6D684271">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（1）乙方逾期出具检测报告的，每逾期一天需向甲方支付本合同金额万分之一的违约金；逾期影响工程备案的，乙方须向甲方支付本合同金额的10%作为违约金；</w:t>
      </w:r>
    </w:p>
    <w:p w14:paraId="77FC96CE">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（2）任何一方未按照合同约定履行义务给对方造成损失的，应当承担相应的赔偿责任；</w:t>
      </w:r>
    </w:p>
    <w:p w14:paraId="2AB2E9E4">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（3）任何一方未经对方同意而单方面终止合同的，应向对方赔偿本合同金额的10%作为违约金，并追究其法律和经济责任。</w:t>
      </w:r>
    </w:p>
    <w:p w14:paraId="21A9ADE2">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7.合同如发生纠纷，当事人双方应当及时协商解决，协商不成时，按以下第（②）项方式处理：①根据《中华人民共和国仲裁法》的规定向合肥仲裁委员会申请仲裁。②向</w:t>
      </w:r>
      <w:r>
        <w:rPr>
          <w:rFonts w:hint="eastAsia" w:ascii="仿宋" w:hAnsi="仿宋" w:eastAsia="仿宋" w:cs="仿宋"/>
          <w:sz w:val="28"/>
          <w:szCs w:val="28"/>
          <w:lang w:val="en-US" w:eastAsia="zh-CN"/>
        </w:rPr>
        <w:t>甲方所在地</w:t>
      </w:r>
      <w:r>
        <w:rPr>
          <w:rFonts w:hint="eastAsia" w:ascii="仿宋" w:hAnsi="仿宋" w:eastAsia="仿宋" w:cs="仿宋"/>
          <w:sz w:val="28"/>
          <w:szCs w:val="28"/>
        </w:rPr>
        <w:t>的人民法院起诉。</w:t>
      </w:r>
    </w:p>
    <w:p w14:paraId="2A293C2D">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8.检测费用及支付</w:t>
      </w:r>
    </w:p>
    <w:p w14:paraId="095F7E64">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（1）收费标准和服务内容参照【关于公布《安徽省建设工程质量检测收费行业指导价》的通知】建质安协【2019】16号文，其中收费标准以该文件规定标准的</w:t>
      </w:r>
      <w:r>
        <w:rPr>
          <w:rFonts w:hint="eastAsia" w:ascii="仿宋" w:hAnsi="仿宋" w:eastAsia="仿宋" w:cs="仿宋"/>
          <w:sz w:val="28"/>
          <w:szCs w:val="28"/>
          <w:highlight w:val="yellow"/>
          <w:u w:val="single"/>
          <w:lang w:val="en-US" w:eastAsia="zh-CN"/>
        </w:rPr>
        <w:t xml:space="preserve">   </w:t>
      </w:r>
      <w:r>
        <w:rPr>
          <w:rFonts w:hint="eastAsia" w:ascii="仿宋" w:hAnsi="仿宋" w:eastAsia="仿宋" w:cs="仿宋"/>
          <w:sz w:val="28"/>
          <w:szCs w:val="28"/>
          <w:highlight w:val="yellow"/>
          <w:lang w:val="en-US" w:eastAsia="zh-CN"/>
        </w:rPr>
        <w:t xml:space="preserve"> </w:t>
      </w:r>
      <w:r>
        <w:rPr>
          <w:rFonts w:hint="eastAsia" w:ascii="仿宋" w:hAnsi="仿宋" w:eastAsia="仿宋" w:cs="仿宋"/>
          <w:color w:val="FF0000"/>
          <w:sz w:val="28"/>
          <w:szCs w:val="28"/>
          <w:highlight w:val="yellow"/>
        </w:rPr>
        <w:t>%</w:t>
      </w:r>
      <w:r>
        <w:rPr>
          <w:rFonts w:hint="eastAsia" w:ascii="仿宋" w:hAnsi="仿宋" w:eastAsia="仿宋" w:cs="仿宋"/>
          <w:color w:val="FF0000"/>
          <w:sz w:val="28"/>
          <w:szCs w:val="28"/>
        </w:rPr>
        <w:t>（</w:t>
      </w:r>
      <w:r>
        <w:rPr>
          <w:rFonts w:hint="eastAsia" w:ascii="仿宋_GB2312" w:hAnsi="仿宋_GB2312" w:eastAsia="仿宋_GB2312" w:cs="仿宋_GB2312"/>
          <w:color w:val="FF0000"/>
          <w:sz w:val="32"/>
          <w:szCs w:val="40"/>
        </w:rPr>
        <w:t>含增值税税率6%</w:t>
      </w:r>
      <w:r>
        <w:rPr>
          <w:rFonts w:hint="eastAsia" w:ascii="仿宋" w:hAnsi="仿宋" w:eastAsia="仿宋" w:cs="仿宋"/>
          <w:color w:val="FF0000"/>
          <w:sz w:val="28"/>
          <w:szCs w:val="28"/>
        </w:rPr>
        <w:t>）计取</w:t>
      </w:r>
      <w:r>
        <w:rPr>
          <w:rFonts w:hint="eastAsia" w:ascii="仿宋" w:hAnsi="仿宋" w:eastAsia="仿宋" w:cs="仿宋"/>
          <w:sz w:val="28"/>
          <w:szCs w:val="28"/>
        </w:rPr>
        <w:t>，即文件中计费标准×投标报价费率</w:t>
      </w:r>
      <w:r>
        <w:rPr>
          <w:rFonts w:hint="eastAsia" w:ascii="仿宋" w:hAnsi="仿宋" w:eastAsia="仿宋" w:cs="仿宋"/>
          <w:color w:val="FF0000"/>
          <w:sz w:val="28"/>
          <w:szCs w:val="28"/>
        </w:rPr>
        <w:t>(%)，</w:t>
      </w:r>
      <w:r>
        <w:rPr>
          <w:rFonts w:hint="eastAsia" w:ascii="仿宋" w:hAnsi="仿宋" w:eastAsia="仿宋" w:cs="仿宋"/>
          <w:sz w:val="28"/>
          <w:szCs w:val="28"/>
        </w:rPr>
        <w:t>但服务质量不变，具体检测费用依据实际检测项目、数量及提供完整的检测报告为准。</w:t>
      </w:r>
    </w:p>
    <w:p w14:paraId="0996BDA6">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付款方式：每条道路工程项目单独进行支付：按一个季度内实际完成检测工程量的65%支付费用，工程竣工验收合格后付至全部检测工程量对应检测费的80%，工程结算审核完成后付至全部检测工程量对应检测费的97%，工程缺陷责任期（以施工合同约定为准）满后无息付清尾款。付款前，乙方应按照国家税收有关规定开具等额增值税专用发票，否则甲方有权暂停付款。</w:t>
      </w:r>
    </w:p>
    <w:p w14:paraId="438174E7">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需要检测的道路以甲方通知为准，最终依据具体检测项目及数量据实结算，若存在某条道路不实施，最终甲方不承担任何违约责任</w:t>
      </w:r>
      <w:r>
        <w:rPr>
          <w:rFonts w:hint="eastAsia" w:ascii="仿宋" w:hAnsi="仿宋" w:eastAsia="仿宋" w:cs="仿宋"/>
          <w:sz w:val="28"/>
          <w:szCs w:val="28"/>
        </w:rPr>
        <w:t>。</w:t>
      </w:r>
    </w:p>
    <w:p w14:paraId="2ED9FE38">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9.其他要求</w:t>
      </w:r>
    </w:p>
    <w:p w14:paraId="0AE11CEF">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（1）施工过程中，甲方有权对工程质量有怀疑的部位增加检测频率。检测数量及频率按照国家相关规范的规定计取并满足甲方要求；</w:t>
      </w:r>
      <w:r>
        <w:rPr>
          <w:rFonts w:hint="eastAsia" w:ascii="仿宋" w:hAnsi="仿宋" w:eastAsia="仿宋" w:cs="仿宋"/>
          <w:sz w:val="28"/>
          <w:szCs w:val="28"/>
          <w:lang w:val="en-US" w:eastAsia="zh-CN"/>
        </w:rPr>
        <w:t>费用已包含在合同总价中，不另行计算</w:t>
      </w:r>
      <w:r>
        <w:rPr>
          <w:rFonts w:hint="eastAsia" w:ascii="仿宋" w:hAnsi="仿宋" w:eastAsia="仿宋" w:cs="仿宋"/>
          <w:sz w:val="28"/>
          <w:szCs w:val="28"/>
        </w:rPr>
        <w:t>。</w:t>
      </w:r>
    </w:p>
    <w:p w14:paraId="675011AF">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（2）乙方应在工程开工前7个工作日内向甲方报送工程项目检测方案，审定的检测方案作为附件纳入本合同。检测单位应严格按照发包人审定的检测方案开展检测工作。</w:t>
      </w:r>
    </w:p>
    <w:p w14:paraId="1ECECB52">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（3）乙方须定期向甲方汇报月度检测内容及下一步工作安排，每周向甲方提交周检测总结（检测不合格台账），对发现检测不合格项目应及时向甲方汇报，每月25日提交检测月报以及检测结果汇总。</w:t>
      </w:r>
    </w:p>
    <w:p w14:paraId="03062D70">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乙方应严格按照合同进度要求提交合格的检测报告，所有检测不得影响分部分项验收，必要时乙方应提前做好预检测及协调工作，由乙方原因造成的停工、返工、窝工，乙方自行承担全部赔偿责任且免收相应部分检测费用，因乙方失误提供错误检测结果，乙方承担由此引发的一切后果。乙方须按时参加有关工程质量的会议或检查，并根据检查结果对不超出原定范围的内容做必要调整或补充。</w:t>
      </w:r>
    </w:p>
    <w:p w14:paraId="0CF69222">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乙方必须配合甲方做好资料备案工作，检测人员须服从甲方协调与安排，及时完成甲方临时指派的其他检测任务，按甲方要求参加工程调度会或验收等（所有检测费用包含在合同总价内）；确有特殊情况须提前向甲方请假并经甲方同意，否则，每缺席一次须向甲方支付违约金1000元</w:t>
      </w:r>
      <w:r>
        <w:rPr>
          <w:rFonts w:hint="eastAsia" w:ascii="仿宋" w:hAnsi="仿宋" w:eastAsia="仿宋" w:cs="仿宋"/>
          <w:sz w:val="28"/>
          <w:szCs w:val="28"/>
          <w:lang w:val="en-US" w:eastAsia="zh-CN"/>
        </w:rPr>
        <w:t>/天</w:t>
      </w:r>
      <w:r>
        <w:rPr>
          <w:rFonts w:hint="eastAsia" w:ascii="仿宋" w:hAnsi="仿宋" w:eastAsia="仿宋" w:cs="仿宋"/>
          <w:sz w:val="28"/>
          <w:szCs w:val="28"/>
        </w:rPr>
        <w:t>。</w:t>
      </w:r>
    </w:p>
    <w:p w14:paraId="7A2DF8F1">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（6）乙方未按合同约定提交检测文件资料，经甲方催告后10日内仍未提交的，须向甲方支付违约金1000元/</w:t>
      </w:r>
      <w:r>
        <w:rPr>
          <w:rFonts w:hint="eastAsia" w:ascii="仿宋" w:hAnsi="仿宋" w:eastAsia="仿宋" w:cs="仿宋"/>
          <w:sz w:val="28"/>
          <w:szCs w:val="28"/>
          <w:lang w:val="en-US" w:eastAsia="zh-CN"/>
        </w:rPr>
        <w:t>天</w:t>
      </w:r>
      <w:r>
        <w:rPr>
          <w:rFonts w:hint="eastAsia" w:ascii="仿宋" w:hAnsi="仿宋" w:eastAsia="仿宋" w:cs="仿宋"/>
          <w:sz w:val="28"/>
          <w:szCs w:val="28"/>
        </w:rPr>
        <w:t>。</w:t>
      </w:r>
    </w:p>
    <w:p w14:paraId="2AAAE767">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（7）乙方应为其工作人员购买人身安全保险，乙方人员在检测工作中的安全责任由乙方自行负责，乙方检测工作给甲方或第三方人员造成人身或财产损害的，乙方应承担全部赔偿责任。</w:t>
      </w:r>
    </w:p>
    <w:p w14:paraId="3613AD12">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8）乙方不得与施工单位串通作假，不得以任何形式要求施工单位购买指定材料，不得出现“吃、拿、卡、要”等情况，一经查实，甲方有权终止合同，不予退还乙方履约保证金，并将乙方清除出场，同时甲方将联合相关部门予以公开曝光。</w:t>
      </w:r>
    </w:p>
    <w:p w14:paraId="22F84C1B">
      <w:pPr>
        <w:adjustRightInd w:val="0"/>
        <w:snapToGrid w:val="0"/>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（9）现场所需检测仪器、设备等检测工具由乙方自行提供，否则按违约处理。</w:t>
      </w:r>
    </w:p>
    <w:p w14:paraId="360FEBED">
      <w:pPr>
        <w:adjustRightInd w:val="0"/>
        <w:snapToGrid w:val="0"/>
        <w:spacing w:line="480" w:lineRule="exact"/>
        <w:ind w:firstLine="560" w:firstLineChars="20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10）满足亳州市质量主管部门要求，并检测报告得到亳州市质量主管认</w:t>
      </w:r>
    </w:p>
    <w:p w14:paraId="5607390B">
      <w:pPr>
        <w:adjustRightInd w:val="0"/>
        <w:snapToGrid w:val="0"/>
        <w:spacing w:line="480" w:lineRule="exact"/>
        <w:ind w:firstLine="0" w:firstLineChars="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可。因乙方无法满足亳州市质量主管部门要求，或检测报告不能得到亳州市质量主管部门的认可，甲方有权解除合同，乙方须向甲方支付 30000元的违约金，且甲方有权要求乙方承担全部赔偿责任。</w:t>
      </w:r>
    </w:p>
    <w:p w14:paraId="25975402">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10.下列关于安徽省政采项目管理咨询有限公司的招标文件及有关附件是本合同不可分割的组成部分，与本合同具有同等法律效力，这些文件包括但不限于：①招标文件；②乙方提供的投标文件；③服务承诺；④甲乙双方商定的其他文件。以上附件顺序在前的具有优先解释权。</w:t>
      </w:r>
    </w:p>
    <w:p w14:paraId="66451860">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11.本合同的变更，必须由双方协商一致，以书面形式确定。</w:t>
      </w:r>
    </w:p>
    <w:p w14:paraId="0DAE20E7">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12.本合同一式6 份，甲方执 3份，乙方执 3份，自双方签字盖章之日起生效。</w:t>
      </w:r>
    </w:p>
    <w:p w14:paraId="38303A60">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13.其他</w:t>
      </w:r>
    </w:p>
    <w:p w14:paraId="0A3B567D">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在合同服务期内，双方分别制定项目负责人，负责项目的对接和联系工作：</w:t>
      </w:r>
    </w:p>
    <w:p w14:paraId="0975C62E">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甲方联系人：          ；联系电话：             ；</w:t>
      </w:r>
    </w:p>
    <w:p w14:paraId="11DCF892">
      <w:pPr>
        <w:snapToGrid w:val="0"/>
        <w:spacing w:line="480" w:lineRule="exact"/>
        <w:ind w:firstLine="840" w:firstLineChars="300"/>
        <w:rPr>
          <w:rFonts w:hAnsi="宋体"/>
          <w:bCs/>
          <w:color w:val="auto"/>
          <w:szCs w:val="28"/>
        </w:rPr>
      </w:pPr>
      <w:r>
        <w:rPr>
          <w:rFonts w:hint="eastAsia" w:ascii="仿宋" w:hAnsi="仿宋" w:eastAsia="仿宋" w:cs="仿宋"/>
          <w:sz w:val="28"/>
          <w:szCs w:val="28"/>
        </w:rPr>
        <w:t>乙方联系人：</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；联系电话：</w:t>
      </w:r>
    </w:p>
    <w:p w14:paraId="776918A9">
      <w:pPr>
        <w:spacing w:line="560" w:lineRule="exact"/>
        <w:ind w:firstLine="560" w:firstLineChars="200"/>
        <w:rPr>
          <w:rFonts w:ascii="宋体" w:hAnsi="宋体" w:cs="宋体"/>
          <w:bCs/>
          <w:snapToGrid w:val="0"/>
          <w:kern w:val="0"/>
          <w:sz w:val="24"/>
          <w:szCs w:val="28"/>
        </w:rPr>
      </w:pPr>
      <w:r>
        <w:rPr>
          <w:rFonts w:hint="eastAsia" w:ascii="仿宋" w:hAnsi="仿宋" w:eastAsia="仿宋" w:cs="仿宋"/>
          <w:sz w:val="28"/>
          <w:szCs w:val="28"/>
        </w:rPr>
        <w:t>（本页以下无正文）</w:t>
      </w:r>
    </w:p>
    <w:p w14:paraId="66C3970D">
      <w:pPr>
        <w:spacing w:line="560" w:lineRule="exact"/>
        <w:rPr>
          <w:b/>
          <w:bCs/>
          <w:sz w:val="28"/>
        </w:rPr>
      </w:pPr>
    </w:p>
    <w:p w14:paraId="3A908B02">
      <w:pPr>
        <w:spacing w:line="560" w:lineRule="exact"/>
        <w:rPr>
          <w:b/>
          <w:bCs/>
          <w:sz w:val="28"/>
        </w:rPr>
      </w:pPr>
    </w:p>
    <w:p w14:paraId="64465F93">
      <w:pPr>
        <w:spacing w:line="560" w:lineRule="exact"/>
        <w:rPr>
          <w:rFonts w:ascii="仿宋" w:hAnsi="仿宋" w:eastAsia="仿宋" w:cs="仿宋"/>
          <w:sz w:val="28"/>
        </w:rPr>
      </w:pPr>
      <w:r>
        <w:rPr>
          <w:rFonts w:hint="eastAsia" w:ascii="仿宋" w:hAnsi="仿宋" w:eastAsia="仿宋" w:cs="仿宋"/>
          <w:b/>
          <w:bCs/>
          <w:sz w:val="28"/>
        </w:rPr>
        <w:t>甲 方</w:t>
      </w:r>
      <w:r>
        <w:rPr>
          <w:rFonts w:hint="eastAsia" w:ascii="仿宋" w:hAnsi="仿宋" w:eastAsia="仿宋" w:cs="仿宋"/>
          <w:sz w:val="28"/>
        </w:rPr>
        <w:t xml:space="preserve">：     （单位盖章）          </w:t>
      </w:r>
      <w:r>
        <w:rPr>
          <w:rFonts w:hint="eastAsia" w:ascii="仿宋" w:hAnsi="仿宋" w:eastAsia="仿宋" w:cs="仿宋"/>
          <w:b/>
          <w:bCs/>
          <w:sz w:val="28"/>
        </w:rPr>
        <w:t xml:space="preserve"> 乙 方</w:t>
      </w:r>
      <w:r>
        <w:rPr>
          <w:rFonts w:hint="eastAsia" w:ascii="仿宋" w:hAnsi="仿宋" w:eastAsia="仿宋" w:cs="仿宋"/>
          <w:sz w:val="28"/>
        </w:rPr>
        <w:t>：    （单位盖章）</w:t>
      </w:r>
    </w:p>
    <w:p w14:paraId="7C0BAAA7">
      <w:pPr>
        <w:spacing w:line="560" w:lineRule="exact"/>
        <w:rPr>
          <w:rFonts w:ascii="仿宋" w:hAnsi="仿宋" w:eastAsia="仿宋" w:cs="仿宋"/>
          <w:b/>
          <w:sz w:val="28"/>
        </w:rPr>
      </w:pPr>
      <w:r>
        <w:rPr>
          <w:rFonts w:hint="eastAsia" w:ascii="仿宋" w:hAnsi="仿宋" w:eastAsia="仿宋" w:cs="仿宋"/>
          <w:b/>
          <w:bCs/>
          <w:sz w:val="28"/>
        </w:rPr>
        <w:t>法定代表人</w:t>
      </w:r>
      <w:r>
        <w:rPr>
          <w:rFonts w:hint="eastAsia" w:ascii="仿宋" w:hAnsi="仿宋" w:eastAsia="仿宋" w:cs="仿宋"/>
          <w:sz w:val="28"/>
        </w:rPr>
        <w:t xml:space="preserve">：                      </w:t>
      </w:r>
      <w:r>
        <w:rPr>
          <w:rFonts w:hint="eastAsia" w:ascii="仿宋" w:hAnsi="仿宋" w:eastAsia="仿宋" w:cs="仿宋"/>
          <w:b/>
          <w:sz w:val="28"/>
        </w:rPr>
        <w:t xml:space="preserve"> 法定代表人：</w:t>
      </w:r>
    </w:p>
    <w:p w14:paraId="7A55A3EA">
      <w:pPr>
        <w:spacing w:line="560" w:lineRule="exact"/>
        <w:rPr>
          <w:rFonts w:ascii="仿宋" w:hAnsi="仿宋" w:eastAsia="仿宋" w:cs="仿宋"/>
          <w:b/>
          <w:bCs/>
          <w:sz w:val="28"/>
        </w:rPr>
      </w:pPr>
      <w:r>
        <w:rPr>
          <w:rFonts w:hint="eastAsia" w:ascii="仿宋" w:hAnsi="仿宋" w:eastAsia="仿宋" w:cs="仿宋"/>
          <w:b/>
          <w:bCs/>
          <w:sz w:val="28"/>
        </w:rPr>
        <w:t>代  表：                           代 表：</w:t>
      </w:r>
    </w:p>
    <w:p w14:paraId="50DD238C">
      <w:pPr>
        <w:spacing w:line="560" w:lineRule="exact"/>
        <w:rPr>
          <w:rFonts w:ascii="仿宋" w:hAnsi="仿宋" w:eastAsia="仿宋" w:cs="仿宋"/>
          <w:b/>
          <w:bCs/>
          <w:sz w:val="28"/>
        </w:rPr>
      </w:pPr>
      <w:r>
        <w:rPr>
          <w:rFonts w:hint="eastAsia" w:ascii="仿宋" w:hAnsi="仿宋" w:eastAsia="仿宋" w:cs="仿宋"/>
          <w:b/>
          <w:bCs/>
          <w:sz w:val="28"/>
        </w:rPr>
        <w:t>联系电话：                         联系电话：</w:t>
      </w:r>
    </w:p>
    <w:p w14:paraId="450F52EA">
      <w:pPr>
        <w:spacing w:line="560" w:lineRule="exact"/>
        <w:rPr>
          <w:rFonts w:ascii="仿宋" w:hAnsi="仿宋" w:eastAsia="仿宋" w:cs="仿宋"/>
          <w:b/>
          <w:bCs/>
          <w:spacing w:val="-20"/>
          <w:sz w:val="28"/>
        </w:rPr>
      </w:pPr>
      <w:r>
        <w:rPr>
          <w:rFonts w:hint="eastAsia" w:ascii="仿宋" w:hAnsi="仿宋" w:eastAsia="仿宋" w:cs="仿宋"/>
          <w:b/>
          <w:bCs/>
          <w:sz w:val="28"/>
        </w:rPr>
        <w:t xml:space="preserve">                                   开户行：</w:t>
      </w:r>
    </w:p>
    <w:p w14:paraId="6E7675AD">
      <w:pPr>
        <w:spacing w:line="560" w:lineRule="exact"/>
        <w:rPr>
          <w:b/>
          <w:bCs/>
          <w:sz w:val="28"/>
        </w:rPr>
      </w:pPr>
      <w:r>
        <w:rPr>
          <w:rFonts w:hint="eastAsia" w:ascii="仿宋" w:hAnsi="仿宋" w:eastAsia="仿宋" w:cs="仿宋"/>
          <w:b/>
          <w:bCs/>
          <w:sz w:val="28"/>
        </w:rPr>
        <w:t xml:space="preserve">                                  </w:t>
      </w:r>
      <w:r>
        <w:rPr>
          <w:rFonts w:hint="eastAsia" w:ascii="仿宋" w:hAnsi="仿宋" w:eastAsia="仿宋" w:cs="仿宋"/>
          <w:b/>
          <w:bCs/>
          <w:color w:val="000000" w:themeColor="text1"/>
          <w:sz w:val="28"/>
          <w:u w:val="none"/>
          <w14:textFill>
            <w14:solidFill>
              <w14:schemeClr w14:val="tx1"/>
            </w14:solidFill>
          </w14:textFill>
        </w:rPr>
        <w:t xml:space="preserve"> </w:t>
      </w:r>
      <w:r>
        <w:rPr>
          <w:rFonts w:hint="eastAsia" w:ascii="仿宋" w:hAnsi="仿宋" w:eastAsia="仿宋" w:cs="仿宋"/>
          <w:b/>
          <w:bCs/>
          <w:strike w:val="0"/>
          <w:color w:val="000000" w:themeColor="text1"/>
          <w:sz w:val="28"/>
          <w:u w:val="none"/>
          <w:lang w:val="en-US" w:eastAsia="zh-CN"/>
          <w14:textFill>
            <w14:solidFill>
              <w14:schemeClr w14:val="tx1"/>
            </w14:solidFill>
          </w14:textFill>
        </w:rPr>
        <w:t>银行账号</w:t>
      </w:r>
      <w:r>
        <w:rPr>
          <w:rFonts w:hint="eastAsia" w:ascii="仿宋" w:hAnsi="仿宋" w:eastAsia="仿宋" w:cs="仿宋"/>
          <w:b/>
          <w:bCs/>
          <w:sz w:val="28"/>
        </w:rPr>
        <w:t>：</w:t>
      </w:r>
    </w:p>
    <w:p w14:paraId="181F8F5F">
      <w:pPr>
        <w:spacing w:line="560" w:lineRule="exact"/>
        <w:rPr>
          <w:b/>
          <w:bCs/>
          <w:sz w:val="28"/>
        </w:rPr>
      </w:pPr>
    </w:p>
    <w:p w14:paraId="067EEC5C">
      <w:pPr>
        <w:spacing w:line="560" w:lineRule="exact"/>
        <w:ind w:right="560"/>
        <w:jc w:val="center"/>
        <w:rPr>
          <w:sz w:val="28"/>
        </w:rPr>
        <w:sectPr>
          <w:pgSz w:w="11906" w:h="16838"/>
          <w:pgMar w:top="1418" w:right="1021" w:bottom="1247" w:left="1474" w:header="851" w:footer="992" w:gutter="0"/>
          <w:pgNumType w:fmt="decimal"/>
          <w:cols w:space="720" w:num="1"/>
          <w:docGrid w:type="lines" w:linePitch="312" w:charSpace="0"/>
        </w:sectPr>
      </w:pPr>
      <w:r>
        <w:rPr>
          <w:rFonts w:hint="eastAsia" w:ascii="仿宋" w:hAnsi="仿宋" w:eastAsia="仿宋" w:cs="仿宋"/>
          <w:b/>
          <w:bCs/>
          <w:sz w:val="28"/>
        </w:rPr>
        <w:t xml:space="preserve">                                     日 期</w:t>
      </w:r>
      <w:r>
        <w:rPr>
          <w:rFonts w:hint="eastAsia" w:ascii="仿宋" w:hAnsi="仿宋" w:eastAsia="仿宋" w:cs="仿宋"/>
          <w:sz w:val="28"/>
        </w:rPr>
        <w:t>：    年  月  日</w:t>
      </w:r>
    </w:p>
    <w:p w14:paraId="2A035BF7">
      <w:pPr>
        <w:spacing w:line="560" w:lineRule="exact"/>
        <w:rPr>
          <w:rFonts w:ascii="黑体" w:hAnsi="黑体" w:eastAsia="黑体" w:cs="黑体"/>
          <w:sz w:val="28"/>
          <w:szCs w:val="36"/>
        </w:rPr>
      </w:pPr>
      <w:r>
        <w:rPr>
          <w:rFonts w:hint="eastAsia" w:ascii="黑体" w:hAnsi="黑体" w:eastAsia="黑体" w:cs="黑体"/>
          <w:sz w:val="28"/>
          <w:szCs w:val="36"/>
        </w:rPr>
        <w:t>附件1</w:t>
      </w:r>
    </w:p>
    <w:tbl>
      <w:tblPr>
        <w:tblStyle w:val="16"/>
        <w:tblW w:w="8304" w:type="dxa"/>
        <w:tblInd w:w="93" w:type="dxa"/>
        <w:tblLayout w:type="fixed"/>
        <w:tblCellMar>
          <w:top w:w="0" w:type="dxa"/>
          <w:left w:w="108" w:type="dxa"/>
          <w:bottom w:w="0" w:type="dxa"/>
          <w:right w:w="108" w:type="dxa"/>
        </w:tblCellMar>
      </w:tblPr>
      <w:tblGrid>
        <w:gridCol w:w="779"/>
        <w:gridCol w:w="1481"/>
        <w:gridCol w:w="4002"/>
        <w:gridCol w:w="2042"/>
      </w:tblGrid>
      <w:tr w14:paraId="7724E0FD">
        <w:tblPrEx>
          <w:tblCellMar>
            <w:top w:w="0" w:type="dxa"/>
            <w:left w:w="108" w:type="dxa"/>
            <w:bottom w:w="0" w:type="dxa"/>
            <w:right w:w="108" w:type="dxa"/>
          </w:tblCellMar>
        </w:tblPrEx>
        <w:trPr>
          <w:trHeight w:val="820" w:hRule="atLeast"/>
        </w:trPr>
        <w:tc>
          <w:tcPr>
            <w:tcW w:w="83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678395">
            <w:pPr>
              <w:widowControl/>
              <w:jc w:val="center"/>
              <w:textAlignment w:val="center"/>
              <w:rPr>
                <w:rFonts w:ascii="宋体" w:hAnsi="宋体" w:cs="宋体"/>
                <w:b/>
                <w:bCs/>
                <w:color w:val="000000"/>
                <w:sz w:val="28"/>
                <w:szCs w:val="28"/>
              </w:rPr>
            </w:pPr>
            <w:r>
              <w:rPr>
                <w:rFonts w:hint="eastAsia" w:ascii="仿宋" w:hAnsi="仿宋" w:eastAsia="仿宋" w:cs="仿宋"/>
                <w:b/>
                <w:bCs/>
                <w:sz w:val="28"/>
                <w:szCs w:val="28"/>
                <w:lang w:val="en-US" w:eastAsia="zh-CN"/>
              </w:rPr>
              <w:t>亳州市城市重点区域交通补短板项目-魏武大道（古泉路-北一环路）、州后街（新华路-魏武大道）、薛阁路（三曹路-魏武大道）、涡阳路（利辛路-和平路）、新华北路（和平路-香附路）质量检测项目</w:t>
            </w:r>
            <w:r>
              <w:rPr>
                <w:rFonts w:hint="eastAsia" w:ascii="宋体" w:hAnsi="宋体" w:cs="宋体"/>
                <w:b/>
                <w:bCs/>
                <w:color w:val="000000"/>
                <w:kern w:val="0"/>
                <w:sz w:val="28"/>
                <w:szCs w:val="28"/>
              </w:rPr>
              <w:t>采购需求表</w:t>
            </w:r>
          </w:p>
        </w:tc>
      </w:tr>
      <w:tr w14:paraId="37ED856E">
        <w:tblPrEx>
          <w:tblCellMar>
            <w:top w:w="0" w:type="dxa"/>
            <w:left w:w="108" w:type="dxa"/>
            <w:bottom w:w="0" w:type="dxa"/>
            <w:right w:w="108" w:type="dxa"/>
          </w:tblCellMar>
        </w:tblPrEx>
        <w:trPr>
          <w:trHeight w:val="499"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80845">
            <w:pPr>
              <w:widowControl/>
              <w:jc w:val="center"/>
              <w:textAlignment w:val="center"/>
              <w:rPr>
                <w:rFonts w:ascii="宋体" w:hAnsi="宋体" w:cs="宋体"/>
                <w:b/>
                <w:bCs/>
                <w:color w:val="000000"/>
                <w:sz w:val="28"/>
                <w:szCs w:val="28"/>
              </w:rPr>
            </w:pPr>
            <w:r>
              <w:rPr>
                <w:rFonts w:hint="eastAsia" w:ascii="宋体" w:hAnsi="宋体" w:cs="宋体"/>
                <w:b/>
                <w:bCs/>
                <w:color w:val="000000"/>
                <w:kern w:val="0"/>
                <w:sz w:val="28"/>
                <w:szCs w:val="28"/>
              </w:rPr>
              <w:t>序号</w:t>
            </w:r>
          </w:p>
        </w:tc>
        <w:tc>
          <w:tcPr>
            <w:tcW w:w="54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33604">
            <w:pPr>
              <w:widowControl/>
              <w:jc w:val="center"/>
              <w:textAlignment w:val="center"/>
              <w:rPr>
                <w:rFonts w:ascii="宋体" w:hAnsi="宋体" w:cs="宋体"/>
                <w:b/>
                <w:bCs/>
                <w:color w:val="000000"/>
                <w:sz w:val="28"/>
                <w:szCs w:val="28"/>
              </w:rPr>
            </w:pPr>
            <w:r>
              <w:rPr>
                <w:rFonts w:hint="eastAsia" w:ascii="宋体" w:hAnsi="宋体" w:cs="宋体"/>
                <w:b/>
                <w:bCs/>
                <w:color w:val="000000"/>
                <w:kern w:val="0"/>
                <w:sz w:val="28"/>
                <w:szCs w:val="28"/>
              </w:rPr>
              <w:t>检 测 项 目</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59B5E">
            <w:pPr>
              <w:widowControl/>
              <w:jc w:val="center"/>
              <w:textAlignment w:val="center"/>
              <w:rPr>
                <w:rFonts w:ascii="宋体" w:hAnsi="宋体" w:cs="宋体"/>
                <w:b/>
                <w:bCs/>
                <w:color w:val="000000"/>
                <w:sz w:val="28"/>
                <w:szCs w:val="28"/>
              </w:rPr>
            </w:pPr>
            <w:r>
              <w:rPr>
                <w:rFonts w:hint="eastAsia" w:ascii="宋体" w:hAnsi="宋体" w:cs="宋体"/>
                <w:b/>
                <w:bCs/>
                <w:color w:val="000000"/>
                <w:kern w:val="0"/>
                <w:sz w:val="28"/>
                <w:szCs w:val="28"/>
              </w:rPr>
              <w:t>备注</w:t>
            </w:r>
          </w:p>
        </w:tc>
      </w:tr>
      <w:tr w14:paraId="7F7E04AC">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B65E67C">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1</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1508EC">
            <w:pPr>
              <w:widowControl/>
              <w:jc w:val="center"/>
              <w:textAlignment w:val="center"/>
              <w:rPr>
                <w:rFonts w:ascii="宋体" w:hAnsi="宋体" w:cs="宋体"/>
                <w:color w:val="000000"/>
                <w:kern w:val="0"/>
                <w:sz w:val="28"/>
                <w:szCs w:val="28"/>
              </w:rPr>
            </w:pPr>
            <w:r>
              <w:rPr>
                <w:rFonts w:hint="eastAsia" w:ascii="宋体" w:hAnsi="宋体" w:cs="宋体"/>
                <w:color w:val="000000"/>
                <w:kern w:val="0"/>
                <w:sz w:val="28"/>
                <w:szCs w:val="28"/>
              </w:rPr>
              <w:t>原材料</w:t>
            </w:r>
          </w:p>
          <w:p w14:paraId="1F9596C5">
            <w:pPr>
              <w:widowControl/>
              <w:jc w:val="center"/>
              <w:textAlignment w:val="center"/>
              <w:rPr>
                <w:rFonts w:ascii="宋体" w:hAnsi="宋体" w:cs="宋体"/>
                <w:color w:val="000000"/>
                <w:sz w:val="28"/>
                <w:szCs w:val="28"/>
              </w:rPr>
            </w:pPr>
            <w:r>
              <w:rPr>
                <w:rFonts w:hint="eastAsia" w:ascii="宋体" w:hAnsi="宋体" w:cs="宋体"/>
                <w:color w:val="000000"/>
                <w:kern w:val="0"/>
                <w:sz w:val="28"/>
                <w:szCs w:val="28"/>
              </w:rPr>
              <w:t>及配合比</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61A2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水泥</w:t>
            </w:r>
          </w:p>
        </w:tc>
        <w:tc>
          <w:tcPr>
            <w:tcW w:w="20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2340BF">
            <w:pPr>
              <w:widowControl/>
              <w:jc w:val="center"/>
              <w:textAlignment w:val="center"/>
              <w:rPr>
                <w:rFonts w:ascii="宋体" w:hAnsi="宋体" w:cs="宋体"/>
                <w:color w:val="000000"/>
                <w:sz w:val="24"/>
              </w:rPr>
            </w:pPr>
            <w:r>
              <w:rPr>
                <w:rFonts w:hint="eastAsia" w:ascii="宋体" w:hAnsi="宋体" w:eastAsia="宋体" w:cs="宋体"/>
                <w:color w:val="000000"/>
                <w:kern w:val="0"/>
                <w:sz w:val="24"/>
                <w:szCs w:val="24"/>
                <w:lang w:val="en-US" w:eastAsia="zh-CN"/>
              </w:rPr>
              <w:t>亳州市城市重点区域交通补短板项目-魏武大道（古泉路-北一环路）、州后街（新华路-魏武大道）、薛阁路（</w:t>
            </w:r>
            <w:r>
              <w:rPr>
                <w:rFonts w:hint="eastAsia" w:ascii="宋体" w:hAnsi="宋体" w:cs="宋体"/>
                <w:color w:val="000000"/>
                <w:kern w:val="0"/>
                <w:sz w:val="24"/>
                <w:szCs w:val="24"/>
                <w:lang w:val="en-US" w:eastAsia="zh-CN"/>
              </w:rPr>
              <w:t>三曹路-魏武大道</w:t>
            </w:r>
            <w:r>
              <w:rPr>
                <w:rFonts w:hint="eastAsia" w:ascii="宋体" w:hAnsi="宋体" w:eastAsia="宋体" w:cs="宋体"/>
                <w:color w:val="000000"/>
                <w:kern w:val="0"/>
                <w:sz w:val="24"/>
                <w:szCs w:val="24"/>
                <w:lang w:val="en-US" w:eastAsia="zh-CN"/>
              </w:rPr>
              <w:t>）、涡阳路（利辛路-和平路）、新华北路（和平路-香附路）质量检测</w:t>
            </w:r>
            <w:r>
              <w:rPr>
                <w:rFonts w:hint="eastAsia" w:ascii="宋体" w:hAnsi="宋体" w:cs="宋体"/>
                <w:color w:val="000000"/>
                <w:kern w:val="0"/>
                <w:sz w:val="24"/>
                <w:lang w:val="en-US" w:eastAsia="zh-CN"/>
              </w:rPr>
              <w:t>五</w:t>
            </w:r>
            <w:r>
              <w:rPr>
                <w:rFonts w:hint="eastAsia" w:ascii="宋体" w:hAnsi="宋体" w:cs="宋体"/>
                <w:color w:val="000000"/>
                <w:kern w:val="0"/>
                <w:sz w:val="24"/>
              </w:rPr>
              <w:t>个项目，需要单独办理相关手续和资料。包含此表内容但不限于此表内容（负责本项目路基、路面、排水、人行道、绿化、交通安全设施等工程施工准备阶段、施工阶段、缺陷责任期阶段的过程检测等）。</w:t>
            </w:r>
          </w:p>
        </w:tc>
      </w:tr>
      <w:tr w14:paraId="1A684FB1">
        <w:tblPrEx>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7C6F6">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239537">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6A25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水泥混凝土粗集料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7EBDFA">
            <w:pPr>
              <w:jc w:val="center"/>
              <w:rPr>
                <w:rFonts w:ascii="宋体" w:hAnsi="宋体" w:cs="宋体"/>
                <w:color w:val="000000"/>
                <w:sz w:val="24"/>
              </w:rPr>
            </w:pPr>
          </w:p>
        </w:tc>
      </w:tr>
      <w:tr w14:paraId="08DCDE9B">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3BCD61CD">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8AD71">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B5D7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水泥混凝土细集料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AD8F71">
            <w:pPr>
              <w:jc w:val="center"/>
              <w:rPr>
                <w:rFonts w:ascii="宋体" w:hAnsi="宋体" w:cs="宋体"/>
                <w:color w:val="000000"/>
                <w:sz w:val="24"/>
              </w:rPr>
            </w:pPr>
          </w:p>
        </w:tc>
      </w:tr>
      <w:tr w14:paraId="46D9A85F">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0B0ABD1">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4</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21325D">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BAA5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钢筋</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A56F5">
            <w:pPr>
              <w:jc w:val="center"/>
              <w:rPr>
                <w:rFonts w:ascii="宋体" w:hAnsi="宋体" w:cs="宋体"/>
                <w:color w:val="000000"/>
                <w:sz w:val="24"/>
              </w:rPr>
            </w:pPr>
          </w:p>
        </w:tc>
      </w:tr>
      <w:tr w14:paraId="7349C55C">
        <w:tblPrEx>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F897D">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B262D">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ED3C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沥青面层粗集料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45EEC">
            <w:pPr>
              <w:jc w:val="center"/>
              <w:rPr>
                <w:rFonts w:ascii="宋体" w:hAnsi="宋体" w:cs="宋体"/>
                <w:color w:val="000000"/>
                <w:sz w:val="24"/>
              </w:rPr>
            </w:pPr>
          </w:p>
        </w:tc>
      </w:tr>
      <w:tr w14:paraId="1EC25B44">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71EECE4">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6</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FA566">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3470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沥青面层细集料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C38136">
            <w:pPr>
              <w:jc w:val="center"/>
              <w:rPr>
                <w:rFonts w:ascii="宋体" w:hAnsi="宋体" w:cs="宋体"/>
                <w:color w:val="000000"/>
                <w:sz w:val="24"/>
              </w:rPr>
            </w:pPr>
          </w:p>
        </w:tc>
      </w:tr>
      <w:tr w14:paraId="77C4DB9E">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1EA8C2B7">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7</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03C39C">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D9F5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沥青</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6EA8C8">
            <w:pPr>
              <w:jc w:val="center"/>
              <w:rPr>
                <w:rFonts w:ascii="宋体" w:hAnsi="宋体" w:cs="宋体"/>
                <w:color w:val="000000"/>
                <w:sz w:val="24"/>
              </w:rPr>
            </w:pPr>
          </w:p>
        </w:tc>
      </w:tr>
      <w:tr w14:paraId="05717989">
        <w:tblPrEx>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A8FFC">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8</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747E2F">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C31D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矿粉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B66DA">
            <w:pPr>
              <w:jc w:val="center"/>
              <w:rPr>
                <w:rFonts w:ascii="宋体" w:hAnsi="宋体" w:cs="宋体"/>
                <w:color w:val="000000"/>
                <w:sz w:val="24"/>
              </w:rPr>
            </w:pPr>
          </w:p>
        </w:tc>
      </w:tr>
      <w:tr w14:paraId="0C0F1ECB">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16D2323D">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9</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AEE572">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1656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沥青混凝土配合比/验证</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92DCAF">
            <w:pPr>
              <w:jc w:val="center"/>
              <w:rPr>
                <w:rFonts w:ascii="宋体" w:hAnsi="宋体" w:cs="宋体"/>
                <w:color w:val="000000"/>
                <w:sz w:val="24"/>
              </w:rPr>
            </w:pPr>
          </w:p>
        </w:tc>
      </w:tr>
      <w:tr w14:paraId="45680905">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89717F9">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10</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89126B">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A96D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级配碎石配合比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907686">
            <w:pPr>
              <w:jc w:val="center"/>
              <w:rPr>
                <w:rFonts w:ascii="宋体" w:hAnsi="宋体" w:cs="宋体"/>
                <w:color w:val="000000"/>
                <w:sz w:val="24"/>
              </w:rPr>
            </w:pPr>
          </w:p>
        </w:tc>
      </w:tr>
      <w:tr w14:paraId="3A570EB4">
        <w:tblPrEx>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326D5">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11</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6A75AD">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AFB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路面混基层凝土配合比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02F224">
            <w:pPr>
              <w:jc w:val="center"/>
              <w:rPr>
                <w:rFonts w:ascii="宋体" w:hAnsi="宋体" w:cs="宋体"/>
                <w:color w:val="000000"/>
                <w:sz w:val="24"/>
              </w:rPr>
            </w:pPr>
          </w:p>
        </w:tc>
      </w:tr>
      <w:tr w14:paraId="301BD580">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61C9B7DB">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12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B7CF7F">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FA57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排水工程混凝土配合比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3E385B">
            <w:pPr>
              <w:jc w:val="center"/>
              <w:rPr>
                <w:rFonts w:ascii="宋体" w:hAnsi="宋体" w:cs="宋体"/>
                <w:color w:val="000000"/>
                <w:sz w:val="24"/>
              </w:rPr>
            </w:pPr>
          </w:p>
        </w:tc>
      </w:tr>
      <w:tr w14:paraId="3F30C828">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7AAEA05C">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13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3DF33">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3517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孔道压浆混凝土配合比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E30BC5">
            <w:pPr>
              <w:jc w:val="center"/>
              <w:rPr>
                <w:rFonts w:ascii="宋体" w:hAnsi="宋体" w:cs="宋体"/>
                <w:color w:val="000000"/>
                <w:sz w:val="24"/>
              </w:rPr>
            </w:pPr>
          </w:p>
        </w:tc>
      </w:tr>
      <w:tr w14:paraId="3BC8523D">
        <w:tblPrEx>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E5645">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14</w:t>
            </w:r>
          </w:p>
        </w:tc>
        <w:tc>
          <w:tcPr>
            <w:tcW w:w="1481" w:type="dxa"/>
            <w:vMerge w:val="restart"/>
            <w:tcBorders>
              <w:top w:val="nil"/>
              <w:left w:val="single" w:color="000000" w:sz="4" w:space="0"/>
              <w:bottom w:val="nil"/>
              <w:right w:val="single" w:color="000000" w:sz="4" w:space="0"/>
            </w:tcBorders>
            <w:shd w:val="clear" w:color="auto" w:fill="auto"/>
            <w:vAlign w:val="center"/>
          </w:tcPr>
          <w:p w14:paraId="25E72B0F">
            <w:pPr>
              <w:widowControl/>
              <w:jc w:val="center"/>
              <w:textAlignment w:val="center"/>
              <w:rPr>
                <w:rFonts w:ascii="宋体" w:hAnsi="宋体" w:cs="宋体"/>
                <w:color w:val="000000"/>
                <w:sz w:val="28"/>
                <w:szCs w:val="28"/>
              </w:rPr>
            </w:pPr>
            <w:r>
              <w:rPr>
                <w:rFonts w:hint="eastAsia" w:ascii="宋体" w:hAnsi="宋体" w:cs="宋体"/>
                <w:color w:val="000000"/>
                <w:kern w:val="0"/>
                <w:sz w:val="28"/>
                <w:szCs w:val="28"/>
              </w:rPr>
              <w:t>路面基层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50F4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水泥混凝土取芯强度、厚度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BADCCF">
            <w:pPr>
              <w:jc w:val="center"/>
              <w:rPr>
                <w:rFonts w:ascii="宋体" w:hAnsi="宋体" w:cs="宋体"/>
                <w:color w:val="000000"/>
                <w:sz w:val="24"/>
              </w:rPr>
            </w:pPr>
          </w:p>
        </w:tc>
      </w:tr>
      <w:tr w14:paraId="6E6948B5">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2F606C2">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15</w:t>
            </w:r>
          </w:p>
        </w:tc>
        <w:tc>
          <w:tcPr>
            <w:tcW w:w="1481" w:type="dxa"/>
            <w:vMerge w:val="continue"/>
            <w:tcBorders>
              <w:top w:val="nil"/>
              <w:left w:val="single" w:color="000000" w:sz="4" w:space="0"/>
              <w:bottom w:val="nil"/>
              <w:right w:val="single" w:color="000000" w:sz="4" w:space="0"/>
            </w:tcBorders>
            <w:shd w:val="clear" w:color="auto" w:fill="auto"/>
            <w:vAlign w:val="center"/>
          </w:tcPr>
          <w:p w14:paraId="5A77DDE0">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2195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混凝土路面板角弯沉和注浆后饱满度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C47994">
            <w:pPr>
              <w:jc w:val="center"/>
              <w:rPr>
                <w:rFonts w:ascii="宋体" w:hAnsi="宋体" w:cs="宋体"/>
                <w:color w:val="000000"/>
                <w:sz w:val="24"/>
              </w:rPr>
            </w:pPr>
          </w:p>
        </w:tc>
      </w:tr>
      <w:tr w14:paraId="3B12A7B5">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auto" w:sz="4" w:space="0"/>
              <w:right w:val="single" w:color="000000" w:sz="4" w:space="0"/>
            </w:tcBorders>
            <w:shd w:val="clear" w:color="auto" w:fill="auto"/>
            <w:noWrap/>
            <w:vAlign w:val="center"/>
          </w:tcPr>
          <w:p w14:paraId="707C1639">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16</w:t>
            </w:r>
          </w:p>
        </w:tc>
        <w:tc>
          <w:tcPr>
            <w:tcW w:w="1481" w:type="dxa"/>
            <w:vMerge w:val="continue"/>
            <w:tcBorders>
              <w:top w:val="nil"/>
              <w:left w:val="single" w:color="000000" w:sz="4" w:space="0"/>
              <w:bottom w:val="single" w:color="auto" w:sz="4" w:space="0"/>
              <w:right w:val="single" w:color="000000" w:sz="4" w:space="0"/>
            </w:tcBorders>
            <w:shd w:val="clear" w:color="auto" w:fill="auto"/>
            <w:vAlign w:val="center"/>
          </w:tcPr>
          <w:p w14:paraId="1F8FA46D">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auto" w:sz="4" w:space="0"/>
              <w:right w:val="single" w:color="000000" w:sz="4" w:space="0"/>
            </w:tcBorders>
            <w:shd w:val="clear" w:color="auto" w:fill="auto"/>
            <w:vAlign w:val="center"/>
          </w:tcPr>
          <w:p w14:paraId="5DCD5B2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孔道压浆/混凝土试块（抗压/抗弯拉）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2CC45">
            <w:pPr>
              <w:jc w:val="center"/>
              <w:rPr>
                <w:rFonts w:ascii="宋体" w:hAnsi="宋体" w:cs="宋体"/>
                <w:color w:val="000000"/>
                <w:sz w:val="24"/>
              </w:rPr>
            </w:pPr>
          </w:p>
        </w:tc>
      </w:tr>
      <w:tr w14:paraId="6B26619F">
        <w:tblPrEx>
          <w:tblCellMar>
            <w:top w:w="0" w:type="dxa"/>
            <w:left w:w="108" w:type="dxa"/>
            <w:bottom w:w="0" w:type="dxa"/>
            <w:right w:w="108" w:type="dxa"/>
          </w:tblCellMar>
        </w:tblPrEx>
        <w:trPr>
          <w:trHeight w:val="400" w:hRule="atLeast"/>
        </w:trPr>
        <w:tc>
          <w:tcPr>
            <w:tcW w:w="779"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A63FFAD">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17</w:t>
            </w:r>
          </w:p>
        </w:tc>
        <w:tc>
          <w:tcPr>
            <w:tcW w:w="1481" w:type="dxa"/>
            <w:vMerge w:val="continue"/>
            <w:tcBorders>
              <w:top w:val="single" w:color="auto" w:sz="4" w:space="0"/>
              <w:left w:val="single" w:color="000000" w:sz="4" w:space="0"/>
              <w:bottom w:val="nil"/>
              <w:right w:val="single" w:color="000000" w:sz="4" w:space="0"/>
            </w:tcBorders>
            <w:shd w:val="clear" w:color="auto" w:fill="auto"/>
            <w:vAlign w:val="center"/>
          </w:tcPr>
          <w:p w14:paraId="467361C5">
            <w:pPr>
              <w:jc w:val="center"/>
              <w:rPr>
                <w:rFonts w:ascii="宋体" w:hAnsi="宋体" w:cs="宋体"/>
                <w:color w:val="000000"/>
                <w:sz w:val="28"/>
                <w:szCs w:val="28"/>
              </w:rPr>
            </w:pPr>
          </w:p>
        </w:tc>
        <w:tc>
          <w:tcPr>
            <w:tcW w:w="400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06A566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级配碎石层压实度、厚度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2F8238">
            <w:pPr>
              <w:jc w:val="center"/>
              <w:rPr>
                <w:rFonts w:ascii="宋体" w:hAnsi="宋体" w:cs="宋体"/>
                <w:color w:val="000000"/>
                <w:sz w:val="24"/>
              </w:rPr>
            </w:pPr>
          </w:p>
        </w:tc>
      </w:tr>
      <w:tr w14:paraId="34603765">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7AA107DC">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18</w:t>
            </w:r>
          </w:p>
        </w:tc>
        <w:tc>
          <w:tcPr>
            <w:tcW w:w="1481" w:type="dxa"/>
            <w:vMerge w:val="continue"/>
            <w:tcBorders>
              <w:top w:val="nil"/>
              <w:left w:val="single" w:color="000000" w:sz="4" w:space="0"/>
              <w:bottom w:val="nil"/>
              <w:right w:val="single" w:color="000000" w:sz="4" w:space="0"/>
            </w:tcBorders>
            <w:shd w:val="clear" w:color="auto" w:fill="auto"/>
            <w:vAlign w:val="center"/>
          </w:tcPr>
          <w:p w14:paraId="1BD9C37D">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AEAC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土基压实度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75824">
            <w:pPr>
              <w:jc w:val="center"/>
              <w:rPr>
                <w:rFonts w:ascii="宋体" w:hAnsi="宋体" w:cs="宋体"/>
                <w:color w:val="000000"/>
                <w:sz w:val="24"/>
              </w:rPr>
            </w:pPr>
          </w:p>
        </w:tc>
      </w:tr>
      <w:tr w14:paraId="46415905">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6C246AA">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19</w:t>
            </w:r>
          </w:p>
        </w:tc>
        <w:tc>
          <w:tcPr>
            <w:tcW w:w="1481" w:type="dxa"/>
            <w:vMerge w:val="restart"/>
            <w:tcBorders>
              <w:top w:val="single" w:color="000000" w:sz="4" w:space="0"/>
              <w:left w:val="single" w:color="000000" w:sz="4" w:space="0"/>
              <w:bottom w:val="nil"/>
              <w:right w:val="single" w:color="000000" w:sz="4" w:space="0"/>
            </w:tcBorders>
            <w:shd w:val="clear" w:color="auto" w:fill="auto"/>
            <w:vAlign w:val="center"/>
          </w:tcPr>
          <w:p w14:paraId="78849B2F">
            <w:pPr>
              <w:widowControl/>
              <w:jc w:val="center"/>
              <w:textAlignment w:val="center"/>
              <w:rPr>
                <w:rFonts w:ascii="宋体" w:hAnsi="宋体" w:cs="宋体"/>
                <w:color w:val="000000"/>
                <w:sz w:val="28"/>
                <w:szCs w:val="28"/>
              </w:rPr>
            </w:pPr>
            <w:r>
              <w:rPr>
                <w:rFonts w:hint="eastAsia" w:ascii="宋体" w:hAnsi="宋体" w:cs="宋体"/>
                <w:color w:val="000000"/>
                <w:kern w:val="0"/>
                <w:sz w:val="28"/>
                <w:szCs w:val="28"/>
              </w:rPr>
              <w:t>路面面层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1B36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压实度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26B514">
            <w:pPr>
              <w:jc w:val="center"/>
              <w:rPr>
                <w:rFonts w:ascii="宋体" w:hAnsi="宋体" w:cs="宋体"/>
                <w:color w:val="000000"/>
                <w:sz w:val="24"/>
              </w:rPr>
            </w:pPr>
          </w:p>
        </w:tc>
      </w:tr>
      <w:tr w14:paraId="1242DF2A">
        <w:tblPrEx>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5745C">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20</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57627512">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5002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B4A3FF">
            <w:pPr>
              <w:jc w:val="center"/>
              <w:rPr>
                <w:rFonts w:ascii="宋体" w:hAnsi="宋体" w:cs="宋体"/>
                <w:color w:val="000000"/>
                <w:sz w:val="24"/>
              </w:rPr>
            </w:pPr>
          </w:p>
        </w:tc>
      </w:tr>
      <w:tr w14:paraId="42195AF4">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400A82A0">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21</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6C80FE3B">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8B8A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马歇尔稳定度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5536F">
            <w:pPr>
              <w:jc w:val="center"/>
              <w:rPr>
                <w:rFonts w:ascii="宋体" w:hAnsi="宋体" w:cs="宋体"/>
                <w:color w:val="000000"/>
                <w:sz w:val="24"/>
              </w:rPr>
            </w:pPr>
          </w:p>
        </w:tc>
      </w:tr>
      <w:tr w14:paraId="177412C2">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411B51A6">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22</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55CFD5C6">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5C25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马歇尔密度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2A15DD">
            <w:pPr>
              <w:jc w:val="center"/>
              <w:rPr>
                <w:rFonts w:ascii="宋体" w:hAnsi="宋体" w:cs="宋体"/>
                <w:color w:val="000000"/>
                <w:sz w:val="24"/>
              </w:rPr>
            </w:pPr>
          </w:p>
        </w:tc>
      </w:tr>
      <w:tr w14:paraId="17A4CF9A">
        <w:tblPrEx>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8115B">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23</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76AE9564">
            <w:pPr>
              <w:jc w:val="center"/>
              <w:rPr>
                <w:rFonts w:ascii="宋体" w:hAnsi="宋体" w:cs="宋体"/>
                <w:color w:val="000000"/>
                <w:sz w:val="28"/>
                <w:szCs w:val="28"/>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4BE4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沥青含量、矿料级配、油石比、矿料级配、流值</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2EE465">
            <w:pPr>
              <w:jc w:val="center"/>
              <w:rPr>
                <w:rFonts w:ascii="宋体" w:hAnsi="宋体" w:cs="宋体"/>
                <w:color w:val="000000"/>
                <w:sz w:val="24"/>
              </w:rPr>
            </w:pPr>
          </w:p>
        </w:tc>
      </w:tr>
      <w:tr w14:paraId="552DAD48">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155DADFD">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24</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0F77D584">
            <w:pPr>
              <w:jc w:val="center"/>
              <w:rPr>
                <w:rFonts w:ascii="宋体" w:hAnsi="宋体" w:cs="宋体"/>
                <w:color w:val="000000"/>
                <w:sz w:val="28"/>
                <w:szCs w:val="28"/>
              </w:rPr>
            </w:pPr>
          </w:p>
        </w:tc>
        <w:tc>
          <w:tcPr>
            <w:tcW w:w="4002" w:type="dxa"/>
            <w:tcBorders>
              <w:top w:val="single" w:color="000000" w:sz="4" w:space="0"/>
              <w:left w:val="nil"/>
              <w:bottom w:val="single" w:color="000000" w:sz="4" w:space="0"/>
              <w:right w:val="single" w:color="000000" w:sz="4" w:space="0"/>
            </w:tcBorders>
            <w:shd w:val="clear" w:color="auto" w:fill="auto"/>
            <w:noWrap/>
            <w:vAlign w:val="center"/>
          </w:tcPr>
          <w:p w14:paraId="20B4D2E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平整度/井框与路面高差</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87C415">
            <w:pPr>
              <w:jc w:val="center"/>
              <w:rPr>
                <w:rFonts w:ascii="宋体" w:hAnsi="宋体" w:cs="宋体"/>
                <w:color w:val="000000"/>
                <w:sz w:val="24"/>
              </w:rPr>
            </w:pPr>
          </w:p>
        </w:tc>
      </w:tr>
      <w:tr w14:paraId="4D22A146">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5A122C1C">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25</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4C2B6862">
            <w:pPr>
              <w:jc w:val="center"/>
              <w:rPr>
                <w:rFonts w:ascii="宋体" w:hAnsi="宋体" w:cs="宋体"/>
                <w:color w:val="000000"/>
                <w:sz w:val="28"/>
                <w:szCs w:val="28"/>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13184A4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弯沉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4C783">
            <w:pPr>
              <w:jc w:val="center"/>
              <w:rPr>
                <w:rFonts w:ascii="宋体" w:hAnsi="宋体" w:cs="宋体"/>
                <w:color w:val="000000"/>
                <w:sz w:val="24"/>
              </w:rPr>
            </w:pPr>
          </w:p>
        </w:tc>
      </w:tr>
      <w:tr w14:paraId="74AA516F">
        <w:tblPrEx>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8EB23">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26</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0A8E2AE0">
            <w:pPr>
              <w:jc w:val="center"/>
              <w:rPr>
                <w:rFonts w:ascii="宋体" w:hAnsi="宋体" w:cs="宋体"/>
                <w:color w:val="000000"/>
                <w:sz w:val="28"/>
                <w:szCs w:val="28"/>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1695B2F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抗车辙、渗水系数、摩擦系数等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D79C1">
            <w:pPr>
              <w:jc w:val="center"/>
              <w:rPr>
                <w:rFonts w:ascii="宋体" w:hAnsi="宋体" w:cs="宋体"/>
                <w:color w:val="000000"/>
                <w:sz w:val="24"/>
              </w:rPr>
            </w:pPr>
          </w:p>
        </w:tc>
      </w:tr>
      <w:tr w14:paraId="6F1C762C">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25B3533">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27</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06E77A96">
            <w:pPr>
              <w:jc w:val="center"/>
              <w:rPr>
                <w:rFonts w:ascii="宋体" w:hAnsi="宋体" w:cs="宋体"/>
                <w:color w:val="000000"/>
                <w:sz w:val="28"/>
                <w:szCs w:val="28"/>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19EC75A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横坡</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DFA5F3">
            <w:pPr>
              <w:jc w:val="center"/>
              <w:rPr>
                <w:rFonts w:ascii="宋体" w:hAnsi="宋体" w:cs="宋体"/>
                <w:color w:val="000000"/>
                <w:sz w:val="24"/>
              </w:rPr>
            </w:pPr>
          </w:p>
        </w:tc>
      </w:tr>
      <w:tr w14:paraId="2E6010CF">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5F6FEFDB">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28</w:t>
            </w:r>
          </w:p>
        </w:tc>
        <w:tc>
          <w:tcPr>
            <w:tcW w:w="1481" w:type="dxa"/>
            <w:vMerge w:val="restart"/>
            <w:tcBorders>
              <w:top w:val="single" w:color="000000" w:sz="4" w:space="0"/>
              <w:left w:val="single" w:color="000000" w:sz="4" w:space="0"/>
              <w:bottom w:val="nil"/>
              <w:right w:val="single" w:color="000000" w:sz="4" w:space="0"/>
            </w:tcBorders>
            <w:shd w:val="clear" w:color="auto" w:fill="auto"/>
            <w:vAlign w:val="center"/>
          </w:tcPr>
          <w:p w14:paraId="0D411D3A">
            <w:pPr>
              <w:widowControl/>
              <w:jc w:val="center"/>
              <w:textAlignment w:val="center"/>
              <w:rPr>
                <w:rFonts w:ascii="宋体" w:hAnsi="宋体" w:cs="宋体"/>
                <w:color w:val="000000"/>
                <w:sz w:val="28"/>
                <w:szCs w:val="28"/>
              </w:rPr>
            </w:pPr>
            <w:r>
              <w:rPr>
                <w:rFonts w:hint="eastAsia" w:ascii="宋体" w:hAnsi="宋体" w:cs="宋体"/>
                <w:color w:val="000000"/>
                <w:kern w:val="0"/>
                <w:sz w:val="28"/>
                <w:szCs w:val="28"/>
              </w:rPr>
              <w:t>排水工程</w:t>
            </w: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1E5315F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砼强度（试块）</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F1821">
            <w:pPr>
              <w:jc w:val="center"/>
              <w:rPr>
                <w:rFonts w:ascii="宋体" w:hAnsi="宋体" w:cs="宋体"/>
                <w:color w:val="000000"/>
                <w:sz w:val="24"/>
              </w:rPr>
            </w:pPr>
          </w:p>
        </w:tc>
      </w:tr>
      <w:tr w14:paraId="32F00035">
        <w:tblPrEx>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3A2EE">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29</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55F13C32">
            <w:pPr>
              <w:jc w:val="center"/>
              <w:rPr>
                <w:rFonts w:ascii="宋体" w:hAnsi="宋体" w:cs="宋体"/>
                <w:color w:val="000000"/>
                <w:sz w:val="28"/>
                <w:szCs w:val="28"/>
              </w:rPr>
            </w:pPr>
          </w:p>
        </w:tc>
        <w:tc>
          <w:tcPr>
            <w:tcW w:w="4002" w:type="dxa"/>
            <w:tcBorders>
              <w:top w:val="nil"/>
              <w:left w:val="nil"/>
              <w:bottom w:val="single" w:color="000000" w:sz="4" w:space="0"/>
              <w:right w:val="single" w:color="000000" w:sz="4" w:space="0"/>
            </w:tcBorders>
            <w:shd w:val="clear" w:color="auto" w:fill="auto"/>
            <w:vAlign w:val="center"/>
          </w:tcPr>
          <w:p w14:paraId="33D80F9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排水管材</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E6EF48">
            <w:pPr>
              <w:jc w:val="center"/>
              <w:rPr>
                <w:rFonts w:ascii="宋体" w:hAnsi="宋体" w:cs="宋体"/>
                <w:color w:val="000000"/>
                <w:sz w:val="24"/>
              </w:rPr>
            </w:pPr>
          </w:p>
        </w:tc>
      </w:tr>
      <w:tr w14:paraId="1031D087">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7DC3DBC5">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30</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4255F80B">
            <w:pPr>
              <w:jc w:val="center"/>
              <w:rPr>
                <w:rFonts w:ascii="宋体" w:hAnsi="宋体" w:cs="宋体"/>
                <w:color w:val="000000"/>
                <w:sz w:val="28"/>
                <w:szCs w:val="28"/>
              </w:rPr>
            </w:pPr>
          </w:p>
        </w:tc>
        <w:tc>
          <w:tcPr>
            <w:tcW w:w="4002" w:type="dxa"/>
            <w:tcBorders>
              <w:top w:val="nil"/>
              <w:left w:val="nil"/>
              <w:bottom w:val="single" w:color="000000" w:sz="4" w:space="0"/>
              <w:right w:val="single" w:color="000000" w:sz="4" w:space="0"/>
            </w:tcBorders>
            <w:shd w:val="clear" w:color="auto" w:fill="auto"/>
            <w:vAlign w:val="center"/>
          </w:tcPr>
          <w:p w14:paraId="4D0A32D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井盖/雨</w:t>
            </w:r>
            <w:r>
              <w:rPr>
                <w:rFonts w:hint="eastAsia" w:ascii="宋体" w:hAnsi="宋体" w:cs="宋体"/>
                <w:color w:val="000000"/>
                <w:kern w:val="0"/>
                <w:sz w:val="20"/>
                <w:szCs w:val="20"/>
                <w:highlight w:val="none"/>
              </w:rPr>
              <w:t>水箅</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D0558">
            <w:pPr>
              <w:jc w:val="center"/>
              <w:rPr>
                <w:rFonts w:ascii="宋体" w:hAnsi="宋体" w:cs="宋体"/>
                <w:color w:val="000000"/>
                <w:sz w:val="24"/>
              </w:rPr>
            </w:pPr>
          </w:p>
        </w:tc>
      </w:tr>
      <w:tr w14:paraId="68C9DD77">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8592098">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31</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37AFCA">
            <w:pPr>
              <w:widowControl/>
              <w:jc w:val="center"/>
              <w:textAlignment w:val="center"/>
              <w:rPr>
                <w:rFonts w:ascii="宋体" w:hAnsi="宋体" w:cs="宋体"/>
                <w:color w:val="000000"/>
                <w:sz w:val="28"/>
                <w:szCs w:val="28"/>
              </w:rPr>
            </w:pPr>
            <w:r>
              <w:rPr>
                <w:rFonts w:hint="eastAsia" w:ascii="宋体" w:hAnsi="宋体" w:cs="宋体"/>
                <w:color w:val="000000"/>
                <w:kern w:val="0"/>
                <w:sz w:val="28"/>
                <w:szCs w:val="28"/>
              </w:rPr>
              <w:t>交通工程</w:t>
            </w: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5447ABF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立柱竖直度/标志板净空</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CBC9C">
            <w:pPr>
              <w:jc w:val="center"/>
              <w:rPr>
                <w:rFonts w:ascii="宋体" w:hAnsi="宋体" w:cs="宋体"/>
                <w:color w:val="000000"/>
                <w:sz w:val="24"/>
              </w:rPr>
            </w:pPr>
          </w:p>
        </w:tc>
      </w:tr>
      <w:tr w14:paraId="6D7D8D5A">
        <w:tblPrEx>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71DFB">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32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9A6D21">
            <w:pPr>
              <w:jc w:val="center"/>
              <w:rPr>
                <w:rFonts w:ascii="宋体" w:hAnsi="宋体" w:cs="宋体"/>
                <w:color w:val="000000"/>
                <w:sz w:val="28"/>
                <w:szCs w:val="28"/>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7C7B39F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标志板（几何尺寸）</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6E9C5">
            <w:pPr>
              <w:jc w:val="center"/>
              <w:rPr>
                <w:rFonts w:ascii="宋体" w:hAnsi="宋体" w:cs="宋体"/>
                <w:color w:val="000000"/>
                <w:sz w:val="24"/>
              </w:rPr>
            </w:pPr>
          </w:p>
        </w:tc>
      </w:tr>
      <w:tr w14:paraId="1CED4E04">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3CFF8B51">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33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CD504">
            <w:pPr>
              <w:jc w:val="center"/>
              <w:rPr>
                <w:rFonts w:ascii="宋体" w:hAnsi="宋体" w:cs="宋体"/>
                <w:color w:val="000000"/>
                <w:sz w:val="28"/>
                <w:szCs w:val="28"/>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02F77A1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标志板反光膜逆反射系数</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4A3F46">
            <w:pPr>
              <w:jc w:val="center"/>
              <w:rPr>
                <w:rFonts w:ascii="宋体" w:hAnsi="宋体" w:cs="宋体"/>
                <w:color w:val="000000"/>
                <w:sz w:val="24"/>
              </w:rPr>
            </w:pPr>
          </w:p>
        </w:tc>
      </w:tr>
      <w:tr w14:paraId="15616134">
        <w:tblPrEx>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58020AC1">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34</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09DA3A">
            <w:pPr>
              <w:jc w:val="center"/>
              <w:rPr>
                <w:rFonts w:ascii="宋体" w:hAnsi="宋体" w:cs="宋体"/>
                <w:color w:val="000000"/>
                <w:sz w:val="28"/>
                <w:szCs w:val="28"/>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47BE176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反光标线逆反色系数</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386245">
            <w:pPr>
              <w:jc w:val="center"/>
              <w:rPr>
                <w:rFonts w:ascii="宋体" w:hAnsi="宋体" w:cs="宋体"/>
                <w:color w:val="000000"/>
                <w:sz w:val="24"/>
              </w:rPr>
            </w:pPr>
          </w:p>
        </w:tc>
      </w:tr>
      <w:tr w14:paraId="51A50D12">
        <w:tblPrEx>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A31F6">
            <w:pPr>
              <w:widowControl/>
              <w:jc w:val="center"/>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rPr>
              <w:t>35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201CD4">
            <w:pPr>
              <w:jc w:val="center"/>
              <w:rPr>
                <w:rFonts w:ascii="宋体" w:hAnsi="宋体" w:cs="宋体"/>
                <w:color w:val="000000"/>
                <w:sz w:val="28"/>
                <w:szCs w:val="28"/>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0BE68F7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标线几何尺寸（宽度、厚度等）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08914E">
            <w:pPr>
              <w:jc w:val="center"/>
              <w:rPr>
                <w:rFonts w:ascii="宋体" w:hAnsi="宋体" w:cs="宋体"/>
                <w:color w:val="000000"/>
                <w:sz w:val="24"/>
              </w:rPr>
            </w:pPr>
          </w:p>
        </w:tc>
      </w:tr>
    </w:tbl>
    <w:p w14:paraId="4E4262C0">
      <w:pPr>
        <w:rPr>
          <w:kern w:val="0"/>
          <w:sz w:val="24"/>
        </w:rPr>
      </w:pPr>
    </w:p>
    <w:p w14:paraId="308E2288">
      <w:pPr>
        <w:spacing w:line="560" w:lineRule="exact"/>
      </w:pPr>
    </w:p>
    <w:p w14:paraId="634D91EF">
      <w:pPr>
        <w:rPr>
          <w:rFonts w:hint="eastAsia" w:asciiTheme="majorEastAsia" w:hAnsiTheme="majorEastAsia" w:eastAsiaTheme="majorEastAsia" w:cstheme="majorEastAsia"/>
          <w:b/>
          <w:bCs/>
          <w:sz w:val="32"/>
          <w:szCs w:val="32"/>
          <w:highlight w:val="none"/>
          <w:lang w:val="en-US" w:eastAsia="zh-CN"/>
        </w:rPr>
      </w:pP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5E8FB046">
      <w:pPr>
        <w:keepNext w:val="0"/>
        <w:keepLines w:val="0"/>
        <w:pageBreakBefore w:val="0"/>
        <w:widowControl w:val="0"/>
        <w:kinsoku/>
        <w:wordWrap w:val="0"/>
        <w:overflowPunct/>
        <w:topLinePunct w:val="0"/>
        <w:autoSpaceDE/>
        <w:autoSpaceDN/>
        <w:bidi w:val="0"/>
        <w:adjustRightInd/>
        <w:snapToGrid/>
        <w:spacing w:line="500" w:lineRule="exact"/>
        <w:ind w:firstLine="560" w:firstLineChars="200"/>
        <w:jc w:val="both"/>
        <w:textAlignment w:val="auto"/>
        <w:rPr>
          <w:rFonts w:hint="eastAsia" w:ascii="Times New Roman" w:hAnsi="Times New Roman" w:cs="Times New Roman"/>
          <w:kern w:val="0"/>
          <w:sz w:val="28"/>
          <w:szCs w:val="28"/>
          <w:highlight w:val="none"/>
          <w:lang w:val="en-US" w:eastAsia="zh-CN"/>
        </w:rPr>
      </w:pPr>
      <w:permStart w:id="75" w:edGrp="everyone"/>
      <w:r>
        <w:rPr>
          <w:rFonts w:hint="eastAsia" w:ascii="Times New Roman" w:hAnsi="Times New Roman" w:cs="Times New Roman"/>
          <w:kern w:val="0"/>
          <w:sz w:val="28"/>
          <w:szCs w:val="28"/>
          <w:highlight w:val="none"/>
          <w:lang w:val="en-US" w:eastAsia="zh-CN"/>
        </w:rPr>
        <w:t>1.项目概况：</w:t>
      </w:r>
      <w:r>
        <w:rPr>
          <w:rFonts w:hint="eastAsia" w:asciiTheme="minorEastAsia" w:hAnsiTheme="minorEastAsia" w:cstheme="minorEastAsia"/>
          <w:sz w:val="28"/>
          <w:szCs w:val="28"/>
          <w:highlight w:val="none"/>
          <w:lang w:val="en-US" w:eastAsia="zh-CN"/>
        </w:rPr>
        <w:t>亳州市城市重点区域交通补短板项目-魏武大道（古泉路-北一环路）、州后街（新华路-魏武大道）、薛阁路（三曹路-魏武大道）、涡阳路（利辛路-和平路）、新华北路（和平路-香附路）质量检测项目，其中魏武大道（古泉路-北一环路）道路等级为为城市主干路，长2300m、宽60m；州后街（新华路-魏武大道）道路等级为城市支路，长698m、宽20m；薛阁路（三曹路-魏武大道）道路等级为城市支路，长777m、宽14m；涡阳路（利辛路-和平路）道路等级为城市次干路，长1200m、宽24m；新华北路（和平路-香附路）道路等级为城市主干路，长1900m、宽40m；更新改造工程五个项目，需要单独办理相关手续和资料，建设总投资约8100万。</w:t>
      </w:r>
    </w:p>
    <w:p w14:paraId="339C1EC5">
      <w:pPr>
        <w:keepNext w:val="0"/>
        <w:keepLines w:val="0"/>
        <w:pageBreakBefore w:val="0"/>
        <w:widowControl w:val="0"/>
        <w:kinsoku/>
        <w:wordWrap w:val="0"/>
        <w:overflowPunct/>
        <w:topLinePunct w:val="0"/>
        <w:autoSpaceDE/>
        <w:autoSpaceDN/>
        <w:bidi w:val="0"/>
        <w:adjustRightInd/>
        <w:snapToGrid/>
        <w:spacing w:line="50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imes New Roman" w:hAnsi="Times New Roman" w:cs="Times New Roman"/>
          <w:kern w:val="0"/>
          <w:sz w:val="28"/>
          <w:szCs w:val="28"/>
          <w:highlight w:val="none"/>
          <w:lang w:val="en-US" w:eastAsia="zh-CN"/>
        </w:rPr>
        <w:t>2.服务范围及内容：</w:t>
      </w:r>
      <w:r>
        <w:rPr>
          <w:rFonts w:hint="eastAsia" w:asciiTheme="minorEastAsia" w:hAnsiTheme="minorEastAsia" w:cstheme="minorEastAsia"/>
          <w:sz w:val="28"/>
          <w:szCs w:val="28"/>
          <w:highlight w:val="none"/>
          <w:lang w:val="en-US" w:eastAsia="zh-CN"/>
        </w:rPr>
        <w:t>工程</w:t>
      </w:r>
      <w:r>
        <w:rPr>
          <w:rFonts w:hint="eastAsia" w:asciiTheme="minorEastAsia" w:hAnsiTheme="minorEastAsia" w:eastAsiaTheme="minorEastAsia" w:cstheme="minorEastAsia"/>
          <w:sz w:val="28"/>
          <w:szCs w:val="28"/>
          <w:highlight w:val="none"/>
          <w:lang w:val="en-US" w:eastAsia="zh-CN"/>
        </w:rPr>
        <w:t>质量检测</w:t>
      </w:r>
      <w:r>
        <w:rPr>
          <w:rFonts w:hint="eastAsia" w:asciiTheme="minorEastAsia" w:hAnsiTheme="minorEastAsia" w:cstheme="minorEastAsia"/>
          <w:sz w:val="28"/>
          <w:szCs w:val="28"/>
          <w:highlight w:val="none"/>
          <w:lang w:val="en-US" w:eastAsia="zh-CN"/>
        </w:rPr>
        <w:t>范围包括但不限于：</w:t>
      </w:r>
      <w:r>
        <w:rPr>
          <w:rFonts w:hint="default" w:asciiTheme="minorEastAsia" w:hAnsiTheme="minorEastAsia" w:eastAsiaTheme="minorEastAsia" w:cstheme="minorEastAsia"/>
          <w:sz w:val="28"/>
          <w:szCs w:val="28"/>
          <w:highlight w:val="none"/>
          <w:lang w:val="en-US" w:eastAsia="zh-CN"/>
        </w:rPr>
        <w:t>负责</w:t>
      </w:r>
      <w:r>
        <w:rPr>
          <w:rFonts w:hint="eastAsia" w:asciiTheme="minorEastAsia" w:hAnsiTheme="minorEastAsia" w:eastAsiaTheme="minorEastAsia" w:cstheme="minorEastAsia"/>
          <w:sz w:val="28"/>
          <w:szCs w:val="28"/>
          <w:highlight w:val="none"/>
          <w:lang w:val="en-US" w:eastAsia="zh-CN"/>
        </w:rPr>
        <w:t>本</w:t>
      </w:r>
      <w:r>
        <w:rPr>
          <w:rFonts w:hint="default" w:asciiTheme="minorEastAsia" w:hAnsiTheme="minorEastAsia" w:eastAsia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路基、路面、排水、人行道、绿化、交通安全设施等工程施工准备阶段、施工阶段、缺陷责任期阶段的过程检测等</w:t>
      </w:r>
      <w:r>
        <w:rPr>
          <w:rFonts w:hint="eastAsia" w:asciiTheme="minorEastAsia" w:hAnsiTheme="minorEastAsia" w:cstheme="minorEastAsia"/>
          <w:sz w:val="28"/>
          <w:szCs w:val="28"/>
          <w:highlight w:val="none"/>
          <w:lang w:val="en-US" w:eastAsia="zh-CN"/>
        </w:rPr>
        <w:t>，以及</w:t>
      </w:r>
      <w:r>
        <w:rPr>
          <w:rFonts w:hint="default" w:asciiTheme="minorEastAsia" w:hAnsiTheme="minorEastAsia" w:eastAsiaTheme="minorEastAsia" w:cstheme="minorEastAsia"/>
          <w:sz w:val="28"/>
          <w:szCs w:val="28"/>
          <w:highlight w:val="none"/>
          <w:lang w:val="en-US" w:eastAsia="zh-CN"/>
        </w:rPr>
        <w:t>建设单位要求</w:t>
      </w:r>
      <w:r>
        <w:rPr>
          <w:rFonts w:hint="eastAsia" w:asciiTheme="minorEastAsia" w:hAnsiTheme="minorEastAsia" w:cstheme="minorEastAsia"/>
          <w:sz w:val="28"/>
          <w:szCs w:val="28"/>
          <w:highlight w:val="none"/>
          <w:lang w:val="en-US" w:eastAsia="zh-CN"/>
        </w:rPr>
        <w:t>的其他检测项目</w:t>
      </w:r>
      <w:r>
        <w:rPr>
          <w:rFonts w:hint="eastAsia" w:asciiTheme="minorEastAsia" w:hAnsiTheme="minorEastAsia" w:eastAsiaTheme="minorEastAsia" w:cstheme="minorEastAsia"/>
          <w:sz w:val="28"/>
          <w:szCs w:val="28"/>
          <w:highlight w:val="none"/>
          <w:lang w:val="en-US" w:eastAsia="zh-CN"/>
        </w:rPr>
        <w:t>；供应商按检测规范和</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文件要求的内容进行检测。</w:t>
      </w:r>
    </w:p>
    <w:p w14:paraId="125170CD">
      <w:pPr>
        <w:keepNext w:val="0"/>
        <w:keepLines w:val="0"/>
        <w:pageBreakBefore w:val="0"/>
        <w:widowControl w:val="0"/>
        <w:kinsoku/>
        <w:wordWrap w:val="0"/>
        <w:overflowPunct/>
        <w:topLinePunct w:val="0"/>
        <w:autoSpaceDE/>
        <w:autoSpaceDN/>
        <w:bidi w:val="0"/>
        <w:adjustRightInd/>
        <w:snapToGrid/>
        <w:spacing w:line="50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w:t>
      </w:r>
      <w:r>
        <w:rPr>
          <w:rFonts w:hint="default" w:asciiTheme="minorEastAsia" w:hAnsiTheme="minorEastAsia" w:eastAsiaTheme="minorEastAsia" w:cstheme="minorEastAsia"/>
          <w:sz w:val="28"/>
          <w:szCs w:val="28"/>
          <w:highlight w:val="none"/>
          <w:lang w:val="en-US" w:eastAsia="zh-CN"/>
        </w:rPr>
        <w:t>其他主要人员要求：本项目配备人员应不少5人（不含项目负责人），均须具备检测人员证书或检测人员岗位资格证书。</w:t>
      </w:r>
    </w:p>
    <w:p w14:paraId="6740429D">
      <w:pPr>
        <w:keepNext w:val="0"/>
        <w:keepLines w:val="0"/>
        <w:pageBreakBefore w:val="0"/>
        <w:widowControl w:val="0"/>
        <w:kinsoku/>
        <w:wordWrap w:val="0"/>
        <w:overflowPunct/>
        <w:topLinePunct w:val="0"/>
        <w:autoSpaceDE/>
        <w:autoSpaceDN/>
        <w:bidi w:val="0"/>
        <w:adjustRightInd/>
        <w:snapToGrid/>
        <w:spacing w:line="500" w:lineRule="exact"/>
        <w:ind w:firstLine="560" w:firstLineChars="200"/>
        <w:jc w:val="both"/>
        <w:textAlignment w:val="auto"/>
        <w:rPr>
          <w:rFonts w:hint="default"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4检测项目及要求如下表。</w:t>
      </w:r>
    </w:p>
    <w:permEnd w:id="75"/>
    <w:p w14:paraId="1CAB8067">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Times New Roman" w:hAnsi="Times New Roman" w:cs="Times New Roman"/>
          <w:sz w:val="28"/>
          <w:szCs w:val="28"/>
          <w:lang w:val="en-US" w:eastAsia="zh-CN"/>
        </w:rPr>
      </w:pPr>
    </w:p>
    <w:p w14:paraId="1D3E054D">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Times New Roman" w:hAnsi="Times New Roman" w:cs="Times New Roman"/>
          <w:sz w:val="32"/>
          <w:szCs w:val="32"/>
          <w:lang w:val="en-US" w:eastAsia="zh-CN"/>
        </w:rPr>
      </w:pPr>
    </w:p>
    <w:p w14:paraId="6FCC6EEC">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Times New Roman" w:hAnsi="Times New Roman" w:cs="Times New Roman"/>
          <w:sz w:val="32"/>
          <w:szCs w:val="32"/>
          <w:lang w:val="en-US" w:eastAsia="zh-CN"/>
        </w:rPr>
      </w:pPr>
    </w:p>
    <w:p w14:paraId="33E8A813">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Times New Roman" w:hAnsi="Times New Roman" w:cs="Times New Roman"/>
          <w:sz w:val="32"/>
          <w:szCs w:val="32"/>
          <w:lang w:val="en-US" w:eastAsia="zh-CN"/>
        </w:rPr>
      </w:pPr>
    </w:p>
    <w:p w14:paraId="7DDA012A">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Times New Roman" w:hAnsi="Times New Roman" w:cs="Times New Roman"/>
          <w:sz w:val="32"/>
          <w:szCs w:val="32"/>
          <w:lang w:val="en-US" w:eastAsia="zh-CN"/>
        </w:rPr>
      </w:pPr>
    </w:p>
    <w:p w14:paraId="45C89E14">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Times New Roman" w:hAnsi="Times New Roman" w:cs="Times New Roman"/>
          <w:sz w:val="32"/>
          <w:szCs w:val="32"/>
          <w:lang w:val="en-US" w:eastAsia="zh-CN"/>
        </w:rPr>
      </w:pPr>
    </w:p>
    <w:tbl>
      <w:tblPr>
        <w:tblStyle w:val="16"/>
        <w:tblpPr w:leftFromText="180" w:rightFromText="180" w:vertAnchor="text" w:horzAnchor="page" w:tblpX="1884" w:tblpY="502"/>
        <w:tblOverlap w:val="never"/>
        <w:tblW w:w="83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9"/>
        <w:gridCol w:w="1481"/>
        <w:gridCol w:w="4002"/>
        <w:gridCol w:w="2042"/>
      </w:tblGrid>
      <w:tr w14:paraId="3E114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83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C7B456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b/>
                <w:bCs/>
                <w:i w:val="0"/>
                <w:iCs w:val="0"/>
                <w:color w:val="000000"/>
                <w:sz w:val="28"/>
                <w:szCs w:val="28"/>
                <w:u w:val="none"/>
                <w:lang w:val="en-US"/>
              </w:rPr>
            </w:pPr>
            <w:r>
              <w:rPr>
                <w:rFonts w:hint="eastAsia" w:ascii="宋体" w:hAnsi="宋体" w:eastAsia="宋体" w:cs="宋体"/>
                <w:b/>
                <w:bCs/>
                <w:i w:val="0"/>
                <w:iCs w:val="0"/>
                <w:color w:val="000000"/>
                <w:kern w:val="0"/>
                <w:sz w:val="28"/>
                <w:szCs w:val="28"/>
                <w:u w:val="none"/>
                <w:lang w:val="en-US" w:eastAsia="zh-CN" w:bidi="ar"/>
              </w:rPr>
              <w:t>亳州市城市重点区域交通补短板项目-魏武大道（古泉路-北一环路）、州后街（新华路-魏武大道）、薛阁路（三曹路-魏武大道）、涡阳路（利辛路-和平路）、新华北路（和平路-香附路）质量检测项目采购需求表</w:t>
            </w:r>
          </w:p>
        </w:tc>
      </w:tr>
      <w:tr w14:paraId="5C591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C482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54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8B1B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检 测 项 目</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0CE8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备注</w:t>
            </w:r>
          </w:p>
        </w:tc>
      </w:tr>
      <w:tr w14:paraId="53075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6E7FC6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94035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原材料</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及配合比</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AF93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w:t>
            </w:r>
          </w:p>
        </w:tc>
        <w:tc>
          <w:tcPr>
            <w:tcW w:w="20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2E83A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亳州市城市重点区域交通补短板项目-魏武大道（古泉路-北一环路）、州后街（新华路-魏武大道）、薛阁路（三曹路-魏武大道）、涡阳路（利辛路-和平路）、新华北路（和平路-香附路）质量检测更新改造工程五个项目，需要单独办理相关手续和资料。包含此表内容但不限于此表内容（负责本项目路基、路面、排水、人行道、绿化、交通安全设施等工程施工准备阶段、施工阶段、缺陷责任期阶段的过程检测等）。</w:t>
            </w:r>
          </w:p>
        </w:tc>
      </w:tr>
      <w:tr w14:paraId="0F994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023B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357F1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FF0C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水泥混凝土粗集料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229AA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0DF14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C3A231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F019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DA68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水泥混凝土细集料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F0FFC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5D946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4530D2F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46C0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BDD5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65F4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47219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BB69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E31FC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BDB8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沥青面层粗集料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EFCA8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21EB0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1D6B443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B462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D8AE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沥青面层细集料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A368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5FAC0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837133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4EF89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356C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AF71F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60F4C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22F9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4C44B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8DD5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38D8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017E0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7E5D66E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18AD3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742D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沥青混凝土配合比/验证</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5C090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398F7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31495B8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B3D05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7752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级配碎石配合比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319A7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0C6CC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EDE5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11</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D3675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FA94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路面混基层凝土配合比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7C42B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6BAD1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60B8266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E86F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DE33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排水工程混凝土配合比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428AC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2A44A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1682C3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0FBF0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A521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孔道压浆混凝土配合比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59F1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0F0B5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A36A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14</w:t>
            </w:r>
          </w:p>
        </w:tc>
        <w:tc>
          <w:tcPr>
            <w:tcW w:w="1481" w:type="dxa"/>
            <w:vMerge w:val="restart"/>
            <w:tcBorders>
              <w:top w:val="nil"/>
              <w:left w:val="single" w:color="000000" w:sz="4" w:space="0"/>
              <w:bottom w:val="nil"/>
              <w:right w:val="single" w:color="000000" w:sz="4" w:space="0"/>
            </w:tcBorders>
            <w:shd w:val="clear" w:color="auto" w:fill="auto"/>
            <w:vAlign w:val="center"/>
          </w:tcPr>
          <w:p w14:paraId="24757CE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路面基层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E4E8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水泥混凝土取芯强度、厚度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63442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07BC9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04D726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15</w:t>
            </w:r>
          </w:p>
        </w:tc>
        <w:tc>
          <w:tcPr>
            <w:tcW w:w="1481" w:type="dxa"/>
            <w:vMerge w:val="continue"/>
            <w:tcBorders>
              <w:top w:val="nil"/>
              <w:left w:val="single" w:color="000000" w:sz="4" w:space="0"/>
              <w:bottom w:val="nil"/>
              <w:right w:val="single" w:color="000000" w:sz="4" w:space="0"/>
            </w:tcBorders>
            <w:shd w:val="clear" w:color="auto" w:fill="auto"/>
            <w:vAlign w:val="center"/>
          </w:tcPr>
          <w:p w14:paraId="7812C6B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BB8A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混凝土路面板角弯沉和注浆后饱满度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B49F8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0470B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39CCFFD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16</w:t>
            </w:r>
          </w:p>
        </w:tc>
        <w:tc>
          <w:tcPr>
            <w:tcW w:w="1481" w:type="dxa"/>
            <w:vMerge w:val="continue"/>
            <w:tcBorders>
              <w:top w:val="nil"/>
              <w:left w:val="single" w:color="000000" w:sz="4" w:space="0"/>
              <w:bottom w:val="nil"/>
              <w:right w:val="single" w:color="000000" w:sz="4" w:space="0"/>
            </w:tcBorders>
            <w:shd w:val="clear" w:color="auto" w:fill="auto"/>
            <w:vAlign w:val="center"/>
          </w:tcPr>
          <w:p w14:paraId="3F41AF3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322F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孔道压浆/混凝土试块（抗压/抗弯拉）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911A1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00635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0DBE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17</w:t>
            </w:r>
          </w:p>
        </w:tc>
        <w:tc>
          <w:tcPr>
            <w:tcW w:w="1481" w:type="dxa"/>
            <w:vMerge w:val="continue"/>
            <w:tcBorders>
              <w:top w:val="nil"/>
              <w:left w:val="single" w:color="000000" w:sz="4" w:space="0"/>
              <w:bottom w:val="nil"/>
              <w:right w:val="single" w:color="000000" w:sz="4" w:space="0"/>
            </w:tcBorders>
            <w:shd w:val="clear" w:color="auto" w:fill="auto"/>
            <w:vAlign w:val="center"/>
          </w:tcPr>
          <w:p w14:paraId="4466850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3394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级配碎石层压实度、厚度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92C5D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58AFF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C30D9C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18</w:t>
            </w:r>
          </w:p>
        </w:tc>
        <w:tc>
          <w:tcPr>
            <w:tcW w:w="1481" w:type="dxa"/>
            <w:vMerge w:val="continue"/>
            <w:tcBorders>
              <w:top w:val="nil"/>
              <w:left w:val="single" w:color="000000" w:sz="4" w:space="0"/>
              <w:bottom w:val="nil"/>
              <w:right w:val="single" w:color="000000" w:sz="4" w:space="0"/>
            </w:tcBorders>
            <w:shd w:val="clear" w:color="auto" w:fill="auto"/>
            <w:vAlign w:val="center"/>
          </w:tcPr>
          <w:p w14:paraId="05227A9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EE86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土基压实度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26B1A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78722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79AFF76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19</w:t>
            </w:r>
          </w:p>
        </w:tc>
        <w:tc>
          <w:tcPr>
            <w:tcW w:w="1481" w:type="dxa"/>
            <w:vMerge w:val="restart"/>
            <w:tcBorders>
              <w:top w:val="single" w:color="000000" w:sz="4" w:space="0"/>
              <w:left w:val="single" w:color="000000" w:sz="4" w:space="0"/>
              <w:bottom w:val="nil"/>
              <w:right w:val="single" w:color="000000" w:sz="4" w:space="0"/>
            </w:tcBorders>
            <w:shd w:val="clear" w:color="auto" w:fill="auto"/>
            <w:vAlign w:val="center"/>
          </w:tcPr>
          <w:p w14:paraId="07576F8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路面面层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BBBD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压实度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3C235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297D5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E396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20</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3A8C326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F50F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1037A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6D6F6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561E99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21</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6539DC3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0A71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马歇尔稳定度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AD1D8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3F7DA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456768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22</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79007E4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4519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马歇尔密度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4BE1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4DFC9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32CF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23</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30B3627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147E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沥青含量、矿料级配、油石比、矿料级配、流值</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86EAE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274A4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6EAA27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24</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5DC34B0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nil"/>
              <w:bottom w:val="single" w:color="000000" w:sz="4" w:space="0"/>
              <w:right w:val="single" w:color="000000" w:sz="4" w:space="0"/>
            </w:tcBorders>
            <w:shd w:val="clear" w:color="auto" w:fill="auto"/>
            <w:noWrap/>
            <w:vAlign w:val="center"/>
          </w:tcPr>
          <w:p w14:paraId="5621578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平整度/井框与路面高差</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61496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2E5F6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6C7AD3A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25</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48F5DE0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69AE798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弯沉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30C323">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006AC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BBC56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26</w:t>
            </w:r>
          </w:p>
        </w:tc>
        <w:tc>
          <w:tcPr>
            <w:tcW w:w="1481"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6651A03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0957644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抗车辙、渗水系数、摩擦系数等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E2BC0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41DCF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auto" w:sz="4" w:space="0"/>
              <w:left w:val="single" w:color="000000" w:sz="4" w:space="0"/>
              <w:bottom w:val="single" w:color="000000" w:sz="4" w:space="0"/>
              <w:right w:val="single" w:color="000000" w:sz="4" w:space="0"/>
            </w:tcBorders>
            <w:shd w:val="clear" w:color="auto" w:fill="auto"/>
            <w:noWrap/>
            <w:vAlign w:val="center"/>
          </w:tcPr>
          <w:tbl>
            <w:tblPr>
              <w:tblStyle w:val="17"/>
              <w:tblW w:w="1737" w:type="dxa"/>
              <w:tblInd w:w="7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tblGrid>
            <w:tr w14:paraId="69F7C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1737" w:type="dxa"/>
                </w:tcPr>
                <w:tbl>
                  <w:tblPr>
                    <w:tblStyle w:val="17"/>
                    <w:tblW w:w="1640"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tblGrid>
                  <w:tr w14:paraId="21DFE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640" w:type="dxa"/>
                      </w:tcPr>
                      <w:p w14:paraId="5417E84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kern w:val="0"/>
                            <w:sz w:val="28"/>
                            <w:szCs w:val="28"/>
                            <w:u w:val="none"/>
                            <w:vertAlign w:val="baseline"/>
                            <w:lang w:val="en-US" w:eastAsia="zh-CN" w:bidi="ar"/>
                          </w:rPr>
                        </w:pPr>
                      </w:p>
                    </w:tc>
                  </w:tr>
                </w:tbl>
                <w:p w14:paraId="70B3A4C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kern w:val="0"/>
                      <w:sz w:val="28"/>
                      <w:szCs w:val="28"/>
                      <w:u w:val="none"/>
                      <w:vertAlign w:val="baseline"/>
                      <w:lang w:val="en-US" w:eastAsia="zh-CN" w:bidi="ar"/>
                    </w:rPr>
                  </w:pPr>
                </w:p>
              </w:tc>
            </w:tr>
          </w:tbl>
          <w:p w14:paraId="76C6DE0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27</w:t>
            </w:r>
          </w:p>
        </w:tc>
        <w:tc>
          <w:tcPr>
            <w:tcW w:w="1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3EFFB9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nil"/>
              <w:bottom w:val="single" w:color="auto" w:sz="4" w:space="0"/>
              <w:right w:val="single" w:color="000000" w:sz="4" w:space="0"/>
            </w:tcBorders>
            <w:shd w:val="clear" w:color="auto" w:fill="auto"/>
            <w:vAlign w:val="center"/>
          </w:tcPr>
          <w:p w14:paraId="2A3612B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横坡</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057E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57346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34B67E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28</w:t>
            </w:r>
          </w:p>
        </w:tc>
        <w:tc>
          <w:tcPr>
            <w:tcW w:w="1481" w:type="dxa"/>
            <w:vMerge w:val="restart"/>
            <w:tcBorders>
              <w:top w:val="single" w:color="auto" w:sz="4" w:space="0"/>
              <w:left w:val="single" w:color="000000" w:sz="4" w:space="0"/>
              <w:bottom w:val="nil"/>
              <w:right w:val="single" w:color="000000" w:sz="4" w:space="0"/>
            </w:tcBorders>
            <w:shd w:val="clear" w:color="auto" w:fill="auto"/>
            <w:vAlign w:val="center"/>
          </w:tcPr>
          <w:p w14:paraId="60AC07B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排水工程</w:t>
            </w:r>
          </w:p>
        </w:tc>
        <w:tc>
          <w:tcPr>
            <w:tcW w:w="4002" w:type="dxa"/>
            <w:tcBorders>
              <w:top w:val="single" w:color="auto" w:sz="4" w:space="0"/>
              <w:left w:val="nil"/>
              <w:bottom w:val="single" w:color="000000" w:sz="4" w:space="0"/>
              <w:right w:val="single" w:color="000000" w:sz="4" w:space="0"/>
            </w:tcBorders>
            <w:shd w:val="clear" w:color="auto" w:fill="auto"/>
            <w:vAlign w:val="center"/>
          </w:tcPr>
          <w:p w14:paraId="03AE735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砼强度（试块）</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F39B0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2A342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CF1C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29</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3183CA7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nil"/>
              <w:left w:val="nil"/>
              <w:bottom w:val="single" w:color="000000" w:sz="4" w:space="0"/>
              <w:right w:val="single" w:color="000000" w:sz="4" w:space="0"/>
            </w:tcBorders>
            <w:shd w:val="clear" w:color="auto" w:fill="auto"/>
            <w:vAlign w:val="center"/>
          </w:tcPr>
          <w:p w14:paraId="4A24273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排水管材</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AF24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59B61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84BCE9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30</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6B21F84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nil"/>
              <w:left w:val="nil"/>
              <w:bottom w:val="single" w:color="000000" w:sz="4" w:space="0"/>
              <w:right w:val="single" w:color="000000" w:sz="4" w:space="0"/>
            </w:tcBorders>
            <w:shd w:val="clear" w:color="auto" w:fill="auto"/>
            <w:vAlign w:val="center"/>
          </w:tcPr>
          <w:p w14:paraId="5E2AEB2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井盖/雨水箅</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ABC69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284D1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C3087F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31</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79518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交通工程</w:t>
            </w: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284CEDE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立柱竖直度/标志板净空</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2C5F7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2479B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83E5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3777F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710395D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标志板（几何尺寸）</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32D213">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4B833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59D054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030B0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57A42F3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标志板反光膜逆反射系数</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ED244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1116F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7180099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34</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86791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58DDE4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反光标线逆反色系数</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13F2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060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96F6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51E76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8"/>
                <w:szCs w:val="28"/>
                <w:u w:val="none"/>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15B789A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标线几何尺寸（宽度、厚度等）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CABE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bl>
    <w:p w14:paraId="234E2404">
      <w:pPr>
        <w:numPr>
          <w:ilvl w:val="0"/>
          <w:numId w:val="0"/>
        </w:numPr>
        <w:ind w:firstLine="0" w:firstLineChars="0"/>
        <w:rPr>
          <w:rFonts w:hint="eastAsia" w:ascii="Times New Roman" w:hAnsi="Times New Roman" w:cs="Times New Roman"/>
          <w:sz w:val="28"/>
          <w:szCs w:val="28"/>
          <w:lang w:val="en-US" w:eastAsia="zh-CN"/>
        </w:rPr>
      </w:pPr>
    </w:p>
    <w:p w14:paraId="746BC9F2">
      <w:pPr>
        <w:numPr>
          <w:ilvl w:val="0"/>
          <w:numId w:val="0"/>
        </w:numPr>
        <w:ind w:firstLine="560" w:firstLineChars="20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val="en-US" w:eastAsia="zh-CN"/>
        </w:rPr>
        <w:t>技术标准</w:t>
      </w:r>
      <w:r>
        <w:rPr>
          <w:rFonts w:hint="eastAsia" w:ascii="Times New Roman" w:hAnsi="Times New Roman" w:cs="Times New Roman"/>
          <w:sz w:val="28"/>
          <w:szCs w:val="28"/>
          <w:lang w:val="en-US" w:eastAsia="zh-CN"/>
        </w:rPr>
        <w:t>：符合国家、地方、行业现行相关规范合格标准；符合有关试验检测规范、操作规程，并对试验结果承担责任；满足亳州市质量主管部门要求，并检测报告得到亳州市质量主管认可。</w:t>
      </w:r>
    </w:p>
    <w:p w14:paraId="6568EA2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6.采购人的其他要求：</w:t>
      </w:r>
    </w:p>
    <w:p w14:paraId="5873693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（1）施工过程中，采购人有权对工程质量有怀疑的部位增加检测频率 。检测数量及频率按照国家相关规范的规定计取并满足采购人要求</w:t>
      </w:r>
      <w:r>
        <w:rPr>
          <w:rFonts w:hint="default" w:ascii="Times New Roman" w:hAnsi="Times New Roman" w:cs="Times New Roman"/>
          <w:kern w:val="0"/>
          <w:sz w:val="28"/>
          <w:szCs w:val="28"/>
          <w:highlight w:val="none"/>
          <w:lang w:val="en-US" w:eastAsia="zh-CN"/>
        </w:rPr>
        <w:t>；将不再增加任何费用。</w:t>
      </w:r>
    </w:p>
    <w:p w14:paraId="7F28C92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（2）检测单位应在工程开工前7个工作日内向采购人报送工程项目检测方案，审定的检测方案作为附件纳入本合同。检测单位应严格按照采购人审定的检测方案开展检测工作。</w:t>
      </w:r>
    </w:p>
    <w:p w14:paraId="7F1E3D2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（3）检测单位须定期向采购人汇报月度检测内容及下一步工作安排，每周向采购人提交周检测总结（检测不合格台账），</w:t>
      </w:r>
      <w:r>
        <w:rPr>
          <w:rFonts w:hint="default" w:ascii="Times New Roman" w:hAnsi="Times New Roman" w:cs="Times New Roman"/>
          <w:kern w:val="0"/>
          <w:sz w:val="28"/>
          <w:szCs w:val="28"/>
          <w:highlight w:val="none"/>
          <w:lang w:val="en-US" w:eastAsia="zh-CN"/>
        </w:rPr>
        <w:t>对发现检测不合格项目应及时向</w:t>
      </w:r>
      <w:r>
        <w:rPr>
          <w:rFonts w:hint="eastAsia" w:ascii="Times New Roman" w:hAnsi="Times New Roman" w:cs="Times New Roman"/>
          <w:kern w:val="0"/>
          <w:sz w:val="28"/>
          <w:szCs w:val="28"/>
          <w:highlight w:val="none"/>
          <w:lang w:val="en-US" w:eastAsia="zh-CN"/>
        </w:rPr>
        <w:t>采购人</w:t>
      </w:r>
      <w:r>
        <w:rPr>
          <w:rFonts w:hint="default" w:ascii="Times New Roman" w:hAnsi="Times New Roman" w:cs="Times New Roman"/>
          <w:kern w:val="0"/>
          <w:sz w:val="28"/>
          <w:szCs w:val="28"/>
          <w:highlight w:val="none"/>
          <w:lang w:val="en-US" w:eastAsia="zh-CN"/>
        </w:rPr>
        <w:t>汇报，</w:t>
      </w:r>
      <w:r>
        <w:rPr>
          <w:rFonts w:hint="eastAsia" w:ascii="Times New Roman" w:hAnsi="Times New Roman" w:cs="Times New Roman"/>
          <w:kern w:val="0"/>
          <w:sz w:val="28"/>
          <w:szCs w:val="28"/>
          <w:highlight w:val="none"/>
          <w:lang w:val="en-US" w:eastAsia="zh-CN"/>
        </w:rPr>
        <w:t>每月25日提交检测月报以及检测结果汇总。</w:t>
      </w:r>
    </w:p>
    <w:p w14:paraId="384A33B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（4）检测单位应严格按照合同进度要求提交合格的检测报告，所有检测不得影响分部分项 验收，必要时检测单位应提前做好预检测及协调工作，由检测单位原因造成的停工、返工、窝工，检测单位自行承担全部赔偿责任且免收相应部分检测费用，因检测单位失误提供错误检测结果，检测单位承担由此引发的一切后果。检测单位须按时参加有关工程质量的会议或检查，并根据检查结果对不超出原定范围的内容做必要调整或补充。</w:t>
      </w:r>
    </w:p>
    <w:p w14:paraId="7B2CBCA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（5）检测单位</w:t>
      </w:r>
      <w:r>
        <w:rPr>
          <w:rFonts w:hint="default" w:ascii="Times New Roman" w:hAnsi="Times New Roman" w:cs="Times New Roman"/>
          <w:kern w:val="0"/>
          <w:sz w:val="28"/>
          <w:szCs w:val="28"/>
          <w:highlight w:val="none"/>
          <w:lang w:val="en-US" w:eastAsia="zh-CN"/>
        </w:rPr>
        <w:t>必须配合</w:t>
      </w:r>
      <w:r>
        <w:rPr>
          <w:rFonts w:hint="eastAsia" w:ascii="Times New Roman" w:hAnsi="Times New Roman" w:cs="Times New Roman"/>
          <w:kern w:val="0"/>
          <w:sz w:val="28"/>
          <w:szCs w:val="28"/>
          <w:highlight w:val="none"/>
          <w:lang w:val="en-US" w:eastAsia="zh-CN"/>
        </w:rPr>
        <w:t>采购人</w:t>
      </w:r>
      <w:r>
        <w:rPr>
          <w:rFonts w:hint="default" w:ascii="Times New Roman" w:hAnsi="Times New Roman" w:cs="Times New Roman"/>
          <w:kern w:val="0"/>
          <w:sz w:val="28"/>
          <w:szCs w:val="28"/>
          <w:highlight w:val="none"/>
          <w:lang w:val="en-US" w:eastAsia="zh-CN"/>
        </w:rPr>
        <w:t>做好资料备案工作，检测人员须服从</w:t>
      </w:r>
      <w:r>
        <w:rPr>
          <w:rFonts w:hint="eastAsia" w:ascii="Times New Roman" w:hAnsi="Times New Roman" w:cs="Times New Roman"/>
          <w:kern w:val="0"/>
          <w:sz w:val="28"/>
          <w:szCs w:val="28"/>
          <w:highlight w:val="none"/>
          <w:lang w:val="en-US" w:eastAsia="zh-CN"/>
        </w:rPr>
        <w:t>采购人</w:t>
      </w:r>
      <w:r>
        <w:rPr>
          <w:rFonts w:hint="default" w:ascii="Times New Roman" w:hAnsi="Times New Roman" w:cs="Times New Roman"/>
          <w:kern w:val="0"/>
          <w:sz w:val="28"/>
          <w:szCs w:val="28"/>
          <w:highlight w:val="none"/>
          <w:lang w:val="en-US" w:eastAsia="zh-CN"/>
        </w:rPr>
        <w:t>协调与安排，及时完成</w:t>
      </w:r>
      <w:r>
        <w:rPr>
          <w:rFonts w:hint="eastAsia" w:ascii="Times New Roman" w:hAnsi="Times New Roman" w:cs="Times New Roman"/>
          <w:kern w:val="0"/>
          <w:sz w:val="28"/>
          <w:szCs w:val="28"/>
          <w:highlight w:val="none"/>
          <w:lang w:val="en-US" w:eastAsia="zh-CN"/>
        </w:rPr>
        <w:t>采购人</w:t>
      </w:r>
      <w:r>
        <w:rPr>
          <w:rFonts w:hint="default" w:ascii="Times New Roman" w:hAnsi="Times New Roman" w:cs="Times New Roman"/>
          <w:kern w:val="0"/>
          <w:sz w:val="28"/>
          <w:szCs w:val="28"/>
          <w:highlight w:val="none"/>
          <w:lang w:val="en-US" w:eastAsia="zh-CN"/>
        </w:rPr>
        <w:t>临时指派的其他检测任务，按</w:t>
      </w:r>
      <w:r>
        <w:rPr>
          <w:rFonts w:hint="eastAsia" w:ascii="Times New Roman" w:hAnsi="Times New Roman" w:cs="Times New Roman"/>
          <w:kern w:val="0"/>
          <w:sz w:val="28"/>
          <w:szCs w:val="28"/>
          <w:highlight w:val="none"/>
          <w:lang w:val="en-US" w:eastAsia="zh-CN"/>
        </w:rPr>
        <w:t>采购人</w:t>
      </w:r>
      <w:r>
        <w:rPr>
          <w:rFonts w:hint="default" w:ascii="Times New Roman" w:hAnsi="Times New Roman" w:cs="Times New Roman"/>
          <w:kern w:val="0"/>
          <w:sz w:val="28"/>
          <w:szCs w:val="28"/>
          <w:highlight w:val="none"/>
          <w:lang w:val="en-US" w:eastAsia="zh-CN"/>
        </w:rPr>
        <w:t>要求参加工程调度会或验收等（所有检测费用包含在合同总价内）</w:t>
      </w:r>
      <w:r>
        <w:rPr>
          <w:rFonts w:hint="eastAsia" w:ascii="Times New Roman" w:hAnsi="Times New Roman" w:cs="Times New Roman"/>
          <w:kern w:val="0"/>
          <w:sz w:val="28"/>
          <w:szCs w:val="28"/>
          <w:highlight w:val="none"/>
          <w:lang w:val="en-US" w:eastAsia="zh-CN"/>
        </w:rPr>
        <w:t>；确有特殊情况须提前向采购人请假并经采购人同意，否则，每缺席一次须向采购人支付违约金1000元。</w:t>
      </w:r>
    </w:p>
    <w:p w14:paraId="27AC41D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（6）检测单位未按合同约定提交检测文件资料，经采购人催告后10日内仍未提交的，采购人</w:t>
      </w:r>
      <w:r>
        <w:rPr>
          <w:rFonts w:hint="default" w:ascii="Times New Roman" w:hAnsi="Times New Roman" w:cs="Times New Roman"/>
          <w:kern w:val="0"/>
          <w:sz w:val="28"/>
          <w:szCs w:val="28"/>
          <w:highlight w:val="none"/>
          <w:lang w:val="en-US" w:eastAsia="zh-CN"/>
        </w:rPr>
        <w:t>按照1000元</w:t>
      </w:r>
      <w:r>
        <w:rPr>
          <w:rFonts w:hint="eastAsia" w:ascii="Times New Roman" w:hAnsi="Times New Roman" w:cs="Times New Roman"/>
          <w:kern w:val="0"/>
          <w:sz w:val="28"/>
          <w:szCs w:val="28"/>
          <w:highlight w:val="none"/>
          <w:lang w:val="en-US" w:eastAsia="zh-CN"/>
        </w:rPr>
        <w:t>/次</w:t>
      </w:r>
      <w:r>
        <w:rPr>
          <w:rFonts w:hint="default" w:ascii="Times New Roman" w:hAnsi="Times New Roman" w:cs="Times New Roman"/>
          <w:kern w:val="0"/>
          <w:sz w:val="28"/>
          <w:szCs w:val="28"/>
          <w:highlight w:val="none"/>
          <w:lang w:val="en-US" w:eastAsia="zh-CN"/>
        </w:rPr>
        <w:t>扣除违约金。</w:t>
      </w:r>
    </w:p>
    <w:p w14:paraId="7981DD2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（7）检测单位应为其工作人员购买人身安全保险，检测单位人员在检测工作中的安全责任由乙方自行负责，检测单位检测工作给采购人或第三方人员造成人身或财产损害的，检测单位应承担全部赔偿责任。</w:t>
      </w:r>
    </w:p>
    <w:p w14:paraId="08B271E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8）检测单位不得与施工单位串通作假，不得以任何形式要求施工单位购买指定材料，不得出现“吃、拿、卡、要”等情况，一经查实，采购人有权终止合同，不予退还检测单位履约保证金，并将检测单位清除出场，同时采购人将联合相关部门予以公开曝光。</w:t>
      </w:r>
    </w:p>
    <w:p w14:paraId="2E059C5E">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cs="Times New Roman"/>
          <w:kern w:val="0"/>
          <w:sz w:val="28"/>
          <w:szCs w:val="28"/>
          <w:highlight w:val="none"/>
          <w:lang w:val="en-US" w:eastAsia="zh-CN"/>
        </w:rPr>
      </w:pPr>
      <w:r>
        <w:rPr>
          <w:rFonts w:hint="default" w:ascii="Times New Roman" w:hAnsi="Times New Roman" w:cs="Times New Roman"/>
          <w:kern w:val="0"/>
          <w:sz w:val="28"/>
          <w:szCs w:val="28"/>
          <w:highlight w:val="none"/>
          <w:lang w:val="en-US" w:eastAsia="zh-CN"/>
        </w:rPr>
        <w:t>现场所需检测仪器、设备等检测工具由</w:t>
      </w:r>
      <w:r>
        <w:rPr>
          <w:rFonts w:hint="eastAsia" w:ascii="Times New Roman" w:hAnsi="Times New Roman" w:cs="Times New Roman"/>
          <w:kern w:val="0"/>
          <w:sz w:val="28"/>
          <w:szCs w:val="28"/>
          <w:highlight w:val="none"/>
          <w:lang w:val="en-US" w:eastAsia="zh-CN"/>
        </w:rPr>
        <w:t>检测单位</w:t>
      </w:r>
      <w:r>
        <w:rPr>
          <w:rFonts w:hint="default" w:ascii="Times New Roman" w:hAnsi="Times New Roman" w:cs="Times New Roman"/>
          <w:kern w:val="0"/>
          <w:sz w:val="28"/>
          <w:szCs w:val="28"/>
          <w:highlight w:val="none"/>
          <w:lang w:val="en-US" w:eastAsia="zh-CN"/>
        </w:rPr>
        <w:t>自行提供，否则按违约处理。</w:t>
      </w:r>
    </w:p>
    <w:p w14:paraId="7268BA64">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满足亳州市质量主管部门要求，并检测报告得到亳州市质量主管认可。</w:t>
      </w:r>
      <w:r>
        <w:rPr>
          <w:rFonts w:hint="eastAsia" w:ascii="Times New Roman" w:hAnsi="Times New Roman" w:cs="Times New Roman"/>
          <w:kern w:val="0"/>
          <w:sz w:val="28"/>
          <w:szCs w:val="28"/>
          <w:highlight w:val="none"/>
          <w:lang w:eastAsia="zh-CN"/>
        </w:rPr>
        <w:t>因</w:t>
      </w:r>
      <w:r>
        <w:rPr>
          <w:rFonts w:hint="eastAsia" w:ascii="Times New Roman" w:hAnsi="Times New Roman" w:cs="Times New Roman"/>
          <w:kern w:val="0"/>
          <w:sz w:val="28"/>
          <w:szCs w:val="28"/>
          <w:highlight w:val="none"/>
          <w:lang w:val="en-US" w:eastAsia="zh-CN"/>
        </w:rPr>
        <w:t>检测单位</w:t>
      </w:r>
      <w:r>
        <w:rPr>
          <w:rFonts w:hint="eastAsia" w:ascii="Times New Roman" w:hAnsi="Times New Roman" w:cs="Times New Roman"/>
          <w:kern w:val="0"/>
          <w:sz w:val="28"/>
          <w:szCs w:val="28"/>
          <w:highlight w:val="none"/>
          <w:lang w:eastAsia="zh-CN"/>
        </w:rPr>
        <w:t>无法</w:t>
      </w:r>
      <w:r>
        <w:rPr>
          <w:rFonts w:hint="default" w:ascii="Times New Roman" w:hAnsi="Times New Roman" w:cs="Times New Roman"/>
          <w:kern w:val="0"/>
          <w:sz w:val="28"/>
          <w:szCs w:val="28"/>
          <w:highlight w:val="none"/>
          <w:shd w:val="clear" w:color="auto" w:fill="auto"/>
          <w:lang w:val="en-US" w:eastAsia="zh-CN"/>
        </w:rPr>
        <w:t>满足亳州市质量主管部门要求，</w:t>
      </w:r>
      <w:r>
        <w:rPr>
          <w:rFonts w:hint="eastAsia" w:ascii="Times New Roman" w:hAnsi="Times New Roman" w:cs="Times New Roman"/>
          <w:kern w:val="0"/>
          <w:sz w:val="28"/>
          <w:szCs w:val="28"/>
          <w:highlight w:val="none"/>
          <w:shd w:val="clear" w:color="auto" w:fill="auto"/>
          <w:lang w:val="en-US" w:eastAsia="zh-CN"/>
        </w:rPr>
        <w:t>或</w:t>
      </w:r>
      <w:r>
        <w:rPr>
          <w:rFonts w:hint="default" w:ascii="Times New Roman" w:hAnsi="Times New Roman" w:cs="Times New Roman"/>
          <w:kern w:val="0"/>
          <w:sz w:val="28"/>
          <w:szCs w:val="28"/>
          <w:highlight w:val="none"/>
          <w:shd w:val="clear" w:color="auto" w:fill="auto"/>
          <w:lang w:val="en-US" w:eastAsia="zh-CN"/>
        </w:rPr>
        <w:t>检测报告</w:t>
      </w:r>
      <w:r>
        <w:rPr>
          <w:rFonts w:hint="eastAsia" w:ascii="Times New Roman" w:hAnsi="Times New Roman" w:cs="Times New Roman"/>
          <w:kern w:val="0"/>
          <w:sz w:val="28"/>
          <w:szCs w:val="28"/>
          <w:highlight w:val="none"/>
          <w:shd w:val="clear" w:color="auto" w:fill="auto"/>
          <w:lang w:val="en-US" w:eastAsia="zh-CN"/>
        </w:rPr>
        <w:t>不能</w:t>
      </w:r>
      <w:r>
        <w:rPr>
          <w:rFonts w:hint="default" w:ascii="Times New Roman" w:hAnsi="Times New Roman" w:cs="Times New Roman"/>
          <w:kern w:val="0"/>
          <w:sz w:val="28"/>
          <w:szCs w:val="28"/>
          <w:highlight w:val="none"/>
          <w:shd w:val="clear" w:color="auto" w:fill="auto"/>
          <w:lang w:val="en-US" w:eastAsia="zh-CN"/>
        </w:rPr>
        <w:t>得到亳州市质量主管部门的认可</w:t>
      </w:r>
      <w:r>
        <w:rPr>
          <w:rFonts w:hint="eastAsia" w:ascii="Times New Roman" w:hAnsi="Times New Roman" w:cs="Times New Roman"/>
          <w:kern w:val="0"/>
          <w:sz w:val="28"/>
          <w:szCs w:val="28"/>
          <w:highlight w:val="none"/>
          <w:shd w:val="clear" w:color="auto" w:fill="auto"/>
          <w:lang w:val="en-US" w:eastAsia="zh-CN"/>
        </w:rPr>
        <w:t>，</w:t>
      </w:r>
      <w:r>
        <w:rPr>
          <w:rFonts w:hint="eastAsia" w:ascii="Times New Roman" w:hAnsi="Times New Roman" w:cs="Times New Roman"/>
          <w:kern w:val="0"/>
          <w:sz w:val="28"/>
          <w:szCs w:val="28"/>
          <w:highlight w:val="none"/>
          <w:lang w:val="en-US" w:eastAsia="zh-CN"/>
        </w:rPr>
        <w:t>采购人</w:t>
      </w:r>
      <w:r>
        <w:rPr>
          <w:rFonts w:hint="eastAsia" w:ascii="Times New Roman" w:hAnsi="Times New Roman" w:cs="Times New Roman"/>
          <w:kern w:val="0"/>
          <w:sz w:val="28"/>
          <w:szCs w:val="28"/>
          <w:highlight w:val="none"/>
          <w:shd w:val="clear" w:color="auto" w:fill="auto"/>
          <w:lang w:val="en-US" w:eastAsia="zh-CN"/>
        </w:rPr>
        <w:t>有权解除合同，检测单位须向</w:t>
      </w:r>
      <w:r>
        <w:rPr>
          <w:rFonts w:hint="eastAsia" w:ascii="Times New Roman" w:hAnsi="Times New Roman" w:cs="Times New Roman"/>
          <w:kern w:val="0"/>
          <w:sz w:val="28"/>
          <w:szCs w:val="28"/>
          <w:highlight w:val="none"/>
          <w:lang w:val="en-US" w:eastAsia="zh-CN"/>
        </w:rPr>
        <w:t>采购人</w:t>
      </w:r>
      <w:r>
        <w:rPr>
          <w:rFonts w:hint="eastAsia" w:ascii="Times New Roman" w:hAnsi="Times New Roman" w:cs="Times New Roman"/>
          <w:kern w:val="0"/>
          <w:sz w:val="28"/>
          <w:szCs w:val="28"/>
          <w:highlight w:val="none"/>
          <w:shd w:val="clear" w:color="auto" w:fill="auto"/>
          <w:lang w:val="en-US" w:eastAsia="zh-CN"/>
        </w:rPr>
        <w:t>支付30000元的违约金，若对</w:t>
      </w:r>
      <w:r>
        <w:rPr>
          <w:rFonts w:hint="eastAsia" w:ascii="Times New Roman" w:hAnsi="Times New Roman" w:cs="Times New Roman"/>
          <w:kern w:val="0"/>
          <w:sz w:val="28"/>
          <w:szCs w:val="28"/>
          <w:highlight w:val="none"/>
          <w:lang w:val="en-US" w:eastAsia="zh-CN"/>
        </w:rPr>
        <w:t>采购人</w:t>
      </w:r>
      <w:r>
        <w:rPr>
          <w:rFonts w:hint="eastAsia" w:ascii="Times New Roman" w:hAnsi="Times New Roman" w:cs="Times New Roman"/>
          <w:kern w:val="0"/>
          <w:sz w:val="28"/>
          <w:szCs w:val="28"/>
          <w:highlight w:val="none"/>
          <w:shd w:val="clear" w:color="auto" w:fill="auto"/>
          <w:lang w:val="en-US" w:eastAsia="zh-CN"/>
        </w:rPr>
        <w:t>造成的损失大于30000元，</w:t>
      </w:r>
      <w:r>
        <w:rPr>
          <w:rFonts w:hint="eastAsia" w:ascii="Times New Roman" w:hAnsi="Times New Roman" w:cs="Times New Roman"/>
          <w:kern w:val="0"/>
          <w:sz w:val="28"/>
          <w:szCs w:val="28"/>
          <w:highlight w:val="none"/>
          <w:lang w:val="en-US" w:eastAsia="zh-CN"/>
        </w:rPr>
        <w:t>采购人</w:t>
      </w:r>
      <w:r>
        <w:rPr>
          <w:rFonts w:hint="eastAsia" w:ascii="Times New Roman" w:hAnsi="Times New Roman" w:cs="Times New Roman"/>
          <w:kern w:val="0"/>
          <w:sz w:val="28"/>
          <w:szCs w:val="28"/>
          <w:highlight w:val="none"/>
          <w:shd w:val="clear" w:color="auto" w:fill="auto"/>
          <w:lang w:val="en-US" w:eastAsia="zh-CN"/>
        </w:rPr>
        <w:t>有权要求检测单位承担全部赔偿责任。</w:t>
      </w:r>
    </w:p>
    <w:p w14:paraId="1CC955B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14:paraId="1414D111">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14:paraId="762DFFCD">
      <w:pPr>
        <w:numPr>
          <w:ilvl w:val="0"/>
          <w:numId w:val="0"/>
        </w:numPr>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247514246"/>
      <w:bookmarkStart w:id="258" w:name="_Toc144974856"/>
      <w:bookmarkStart w:id="259" w:name="_Toc152042576"/>
      <w:bookmarkStart w:id="260" w:name="_Toc300835209"/>
      <w:bookmarkStart w:id="261" w:name="_Toc152045787"/>
      <w:bookmarkStart w:id="262" w:name="_Toc247527827"/>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44974857"/>
      <w:bookmarkStart w:id="264" w:name="_Toc300835210"/>
      <w:bookmarkStart w:id="265" w:name="_Toc152045788"/>
      <w:bookmarkStart w:id="266" w:name="_Toc247514247"/>
      <w:bookmarkStart w:id="267" w:name="_Toc152042577"/>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27830"/>
      <w:bookmarkStart w:id="270" w:name="_Toc300835212"/>
      <w:bookmarkStart w:id="271" w:name="_Toc144974859"/>
      <w:bookmarkStart w:id="272" w:name="_Toc152045790"/>
      <w:bookmarkStart w:id="273" w:name="_Toc152042579"/>
      <w:bookmarkStart w:id="274" w:name="_Toc24751424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76"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76"/>
      <w:r>
        <w:rPr>
          <w:rFonts w:hint="eastAsia" w:ascii="Times New Roman" w:hAnsi="Times New Roman" w:cs="Times New Roman"/>
          <w:szCs w:val="21"/>
          <w:lang w:val="en-US" w:eastAsia="zh-CN"/>
        </w:rPr>
        <w:t>，服务期限：</w:t>
      </w:r>
      <w:permStart w:id="77"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77"/>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52045791"/>
      <w:bookmarkStart w:id="276" w:name="_Toc247527831"/>
      <w:bookmarkStart w:id="277" w:name="_Toc152042580"/>
      <w:bookmarkStart w:id="278" w:name="_Toc247514283"/>
      <w:bookmarkStart w:id="279" w:name="_Toc144974860"/>
      <w:bookmarkStart w:id="280"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2581"/>
      <w:bookmarkStart w:id="282" w:name="_Toc152045792"/>
      <w:bookmarkStart w:id="283" w:name="_Toc300835214"/>
      <w:bookmarkStart w:id="284" w:name="_Toc144974861"/>
      <w:bookmarkStart w:id="285" w:name="_Toc247527832"/>
      <w:bookmarkStart w:id="286"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7" w:name="_Toc144974862"/>
      <w:bookmarkStart w:id="288" w:name="_Toc247514286"/>
      <w:bookmarkStart w:id="289" w:name="_Toc300835216"/>
      <w:bookmarkStart w:id="290" w:name="_Toc247527834"/>
      <w:bookmarkStart w:id="291" w:name="_Toc152042583"/>
      <w:bookmarkStart w:id="292" w:name="_Toc152045794"/>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44974863"/>
      <w:bookmarkStart w:id="295" w:name="_Toc247527835"/>
      <w:bookmarkStart w:id="296" w:name="_Toc300835218"/>
      <w:bookmarkStart w:id="297" w:name="_Toc152045795"/>
      <w:bookmarkStart w:id="298" w:name="_Toc152042584"/>
      <w:bookmarkStart w:id="299" w:name="_Toc247514287"/>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1144A248">
      <w:pPr>
        <w:pStyle w:val="3"/>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bookmarkStart w:id="300" w:name="_Toc152042585"/>
      <w:bookmarkStart w:id="301" w:name="_Toc144974864"/>
      <w:bookmarkStart w:id="302" w:name="_Toc300835221"/>
      <w:bookmarkStart w:id="303" w:name="_Toc247514288"/>
      <w:bookmarkStart w:id="304" w:name="_Toc247527836"/>
      <w:bookmarkStart w:id="305" w:name="_Toc152045796"/>
    </w:p>
    <w:p w14:paraId="64F40842">
      <w:pPr>
        <w:ind w:firstLine="1260" w:firstLineChars="600"/>
        <w:rPr>
          <w:rFonts w:hint="default" w:ascii="Times New Roman" w:hAnsi="Times New Roman" w:cs="Times New Roman"/>
        </w:rPr>
      </w:pPr>
      <w:r>
        <w:rPr>
          <w:rFonts w:hint="default" w:ascii="Times New Roman" w:hAnsi="Times New Roman" w:cs="Times New Roman"/>
        </w:rPr>
        <w:t>本项目此项无需填写，以报价函报价为准。</w:t>
      </w: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4"/>
        <w:jc w:val="both"/>
        <w:rPr>
          <w:rFonts w:hint="eastAsia"/>
        </w:rPr>
      </w:pPr>
      <w:bookmarkStart w:id="307" w:name="_Toc179632828"/>
      <w:bookmarkStart w:id="308" w:name="_Toc247085891"/>
      <w:bookmarkStart w:id="309" w:name="_Toc296602618"/>
      <w:bookmarkStart w:id="310" w:name="_Toc246996373"/>
      <w:bookmarkStart w:id="311" w:name="_Toc246997116"/>
      <w:r>
        <w:t>（一）</w:t>
      </w:r>
      <w:r>
        <w:rPr>
          <w:rFonts w:hint="eastAsia"/>
          <w:lang w:eastAsia="zh-CN"/>
        </w:rPr>
        <w:t>供应商</w:t>
      </w:r>
      <w:r>
        <w:t>基本情况表</w:t>
      </w:r>
      <w:bookmarkEnd w:id="307"/>
      <w:bookmarkEnd w:id="308"/>
      <w:bookmarkEnd w:id="309"/>
      <w:bookmarkEnd w:id="310"/>
      <w:bookmarkEnd w:id="31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47085888"/>
      <w:bookmarkStart w:id="313" w:name="_Toc246997113"/>
      <w:bookmarkStart w:id="314" w:name="_Toc296602615"/>
      <w:bookmarkStart w:id="315" w:name="_Toc246996370"/>
      <w:bookmarkStart w:id="316" w:name="_Toc247527850"/>
      <w:bookmarkStart w:id="317" w:name="_Toc152042599"/>
      <w:bookmarkStart w:id="318" w:name="_Toc300835226"/>
      <w:bookmarkStart w:id="319" w:name="_Toc152045810"/>
      <w:bookmarkStart w:id="320" w:name="_Toc247514302"/>
      <w:bookmarkStart w:id="321" w:name="_Toc144974878"/>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6997114"/>
      <w:bookmarkStart w:id="323" w:name="_Toc246996371"/>
      <w:bookmarkStart w:id="324" w:name="_Toc247085889"/>
      <w:bookmarkStart w:id="325" w:name="_Toc296602616"/>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152045811"/>
      <w:bookmarkStart w:id="327" w:name="_Toc152042600"/>
      <w:bookmarkStart w:id="328" w:name="_Toc144974879"/>
      <w:bookmarkStart w:id="329" w:name="_Toc247514303"/>
      <w:bookmarkStart w:id="330" w:name="_Toc247527851"/>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549F311A">
      <w:pPr>
        <w:pStyle w:val="4"/>
        <w:jc w:val="center"/>
        <w:rPr>
          <w:rFonts w:hint="eastAsia" w:ascii="Times New Roman" w:hAnsi="Times New Roman" w:cs="Times New Roman"/>
          <w:lang w:val="en-US" w:eastAsia="zh-CN"/>
        </w:rPr>
      </w:pPr>
      <w:bookmarkStart w:id="331" w:name="_Toc247527848"/>
      <w:bookmarkStart w:id="332" w:name="_Toc246997115"/>
      <w:bookmarkStart w:id="333" w:name="_Toc247085890"/>
      <w:bookmarkStart w:id="334" w:name="_Toc179632827"/>
      <w:bookmarkStart w:id="335" w:name="_Toc296602617"/>
      <w:bookmarkStart w:id="336" w:name="_Toc144974875"/>
      <w:bookmarkStart w:id="337" w:name="_Toc247514300"/>
      <w:bookmarkStart w:id="338" w:name="_Toc152045808"/>
      <w:bookmarkStart w:id="339" w:name="_Toc152045807"/>
      <w:bookmarkStart w:id="340" w:name="_Toc144974876"/>
      <w:bookmarkStart w:id="341" w:name="_Toc300835224"/>
      <w:bookmarkStart w:id="342" w:name="_Toc246996372"/>
      <w:bookmarkStart w:id="343" w:name="_Toc152042596"/>
      <w:bookmarkStart w:id="344" w:name="_Toc152042597"/>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响应方案</w:t>
      </w:r>
    </w:p>
    <w:p w14:paraId="433781BC">
      <w:pPr>
        <w:pStyle w:val="4"/>
        <w:jc w:val="center"/>
        <w:rPr>
          <w:rFonts w:hint="eastAsia" w:asciiTheme="minorEastAsia" w:hAnsi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cstheme="minorEastAsia"/>
          <w:color w:val="000000" w:themeColor="text1"/>
          <w:sz w:val="21"/>
          <w:szCs w:val="21"/>
          <w:lang w:val="en-US" w:eastAsia="zh-CN"/>
          <w14:textFill>
            <w14:solidFill>
              <w14:schemeClr w14:val="tx1"/>
            </w14:solidFill>
          </w14:textFill>
        </w:rPr>
        <w:t xml:space="preserve">响应方案（服务方案）格式及内容由供应商自拟 </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45" w:name="_Toc152045813"/>
      <w:bookmarkStart w:id="346" w:name="_Toc152042602"/>
      <w:bookmarkStart w:id="347" w:name="_Toc247530162"/>
      <w:bookmarkStart w:id="348" w:name="_Toc247527853"/>
      <w:bookmarkStart w:id="349" w:name="_Toc144974881"/>
      <w:bookmarkStart w:id="350" w:name="_Toc247514305"/>
    </w:p>
    <w:bookmarkEnd w:id="345"/>
    <w:bookmarkEnd w:id="346"/>
    <w:bookmarkEnd w:id="347"/>
    <w:bookmarkEnd w:id="348"/>
    <w:bookmarkEnd w:id="349"/>
    <w:bookmarkEnd w:id="350"/>
    <w:p w14:paraId="1E5B7EEB">
      <w:pPr>
        <w:pStyle w:val="3"/>
        <w:jc w:val="center"/>
        <w:rPr>
          <w:rFonts w:hint="default" w:ascii="Times New Roman" w:hAnsi="Times New Roman" w:cs="Times New Roman"/>
        </w:rPr>
      </w:pPr>
      <w:bookmarkStart w:id="351" w:name="_Toc271821942"/>
      <w:bookmarkStart w:id="35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9B1C275-FD75-4349-BF32-98A4974518B1}"/>
  </w:font>
  <w:font w:name="Arial">
    <w:panose1 w:val="020B0604020202020204"/>
    <w:charset w:val="01"/>
    <w:family w:val="swiss"/>
    <w:pitch w:val="default"/>
    <w:sig w:usb0="E0002EFF" w:usb1="C000785B" w:usb2="00000009" w:usb3="00000000" w:csb0="400001FF" w:csb1="FFFF0000"/>
    <w:embedRegular r:id="rId2" w:fontKey="{06C31007-9B5B-4626-BB78-0ABB7D113E14}"/>
  </w:font>
  <w:font w:name="黑体">
    <w:panose1 w:val="02010609060101010101"/>
    <w:charset w:val="86"/>
    <w:family w:val="auto"/>
    <w:pitch w:val="default"/>
    <w:sig w:usb0="800002BF" w:usb1="38CF7CFA" w:usb2="00000016" w:usb3="00000000" w:csb0="00040001" w:csb1="00000000"/>
    <w:embedRegular r:id="rId3" w:fontKey="{E8907AD9-FD24-488A-BC7E-C9AD20BC35B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ED7D472A-FC93-4E1D-9EF2-BE66FF3BDA33}"/>
  </w:font>
  <w:font w:name="仿宋_GB2312">
    <w:panose1 w:val="02010609030101010101"/>
    <w:charset w:val="86"/>
    <w:family w:val="modern"/>
    <w:pitch w:val="default"/>
    <w:sig w:usb0="00000001" w:usb1="080E0000" w:usb2="00000000" w:usb3="00000000" w:csb0="00040000" w:csb1="00000000"/>
    <w:embedRegular r:id="rId5" w:fontKey="{47429D9E-4581-4AC4-8D28-59A6DD5C2634}"/>
  </w:font>
  <w:font w:name="Arial Unicode MS">
    <w:panose1 w:val="020B0604020202020204"/>
    <w:charset w:val="86"/>
    <w:family w:val="auto"/>
    <w:pitch w:val="default"/>
    <w:sig w:usb0="FFFFFFFF" w:usb1="E9FFFFFF" w:usb2="0000003F" w:usb3="00000000" w:csb0="603F01FF" w:csb1="FFFF0000"/>
    <w:embedRegular r:id="rId6" w:fontKey="{A0FEDB95-E4BC-4BDD-89DD-5724D85E2D50}"/>
  </w:font>
  <w:font w:name="方正小标宋简体">
    <w:panose1 w:val="02010600010101010101"/>
    <w:charset w:val="86"/>
    <w:family w:val="auto"/>
    <w:pitch w:val="default"/>
    <w:sig w:usb0="00000001" w:usb1="080E0000" w:usb2="00000000" w:usb3="00000000" w:csb0="00040000" w:csb1="00000000"/>
    <w:embedRegular r:id="rId7" w:fontKey="{B8373FC1-D3E4-47AF-9197-C02EDD871ECD}"/>
  </w:font>
  <w:font w:name="楷体">
    <w:panose1 w:val="02010609060101010101"/>
    <w:charset w:val="86"/>
    <w:family w:val="auto"/>
    <w:pitch w:val="default"/>
    <w:sig w:usb0="800002BF" w:usb1="38CF7CFA" w:usb2="00000016" w:usb3="00000000" w:csb0="00040001" w:csb1="00000000"/>
    <w:embedRegular r:id="rId8" w:fontKey="{AD2D06CE-4E59-4E1D-9763-87E4A994C0CB}"/>
  </w:font>
  <w:font w:name="Wingdings 2">
    <w:panose1 w:val="05020102010507070707"/>
    <w:charset w:val="00"/>
    <w:family w:val="auto"/>
    <w:pitch w:val="default"/>
    <w:sig w:usb0="00000000" w:usb1="00000000" w:usb2="00000000" w:usb3="00000000" w:csb0="80000000" w:csb1="00000000"/>
    <w:embedRegular r:id="rId9" w:fontKey="{82952DF7-4EC5-4ED0-98BD-52AA300435D0}"/>
  </w:font>
  <w:font w:name="方正仿宋_GB2312">
    <w:panose1 w:val="02000000000000000000"/>
    <w:charset w:val="86"/>
    <w:family w:val="auto"/>
    <w:pitch w:val="default"/>
    <w:sig w:usb0="A00002BF" w:usb1="184F6CFA" w:usb2="00000012" w:usb3="00000000" w:csb0="00040001" w:csb1="00000000"/>
    <w:embedRegular r:id="rId10" w:fontKey="{BC1042ED-6139-4DC8-88B2-A450CDDB56D0}"/>
  </w:font>
  <w:font w:name="仿宋">
    <w:panose1 w:val="02010609060101010101"/>
    <w:charset w:val="86"/>
    <w:family w:val="modern"/>
    <w:pitch w:val="default"/>
    <w:sig w:usb0="800002BF" w:usb1="38CF7CFA" w:usb2="00000016" w:usb3="00000000" w:csb0="00040001" w:csb1="00000000"/>
    <w:embedRegular r:id="rId11" w:fontKey="{1B6BC309-9E4A-455D-B763-894BA5533DA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83CB5">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0332D8">
                          <w:pPr>
                            <w:pStyle w:val="10"/>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F0332D8">
                    <w:pPr>
                      <w:pStyle w:val="10"/>
                    </w:pPr>
                    <w:r>
                      <w:fldChar w:fldCharType="begin"/>
                    </w:r>
                    <w:r>
                      <w:instrText xml:space="preserve"> PAGE  \* MERGEFORMAT </w:instrText>
                    </w:r>
                    <w:r>
                      <w:fldChar w:fldCharType="separate"/>
                    </w:r>
                    <w:r>
                      <w:t>- 3 -</w:t>
                    </w:r>
                    <w:r>
                      <w:fldChar w:fldCharType="end"/>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F9D4C">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1312A7">
                          <w:pPr>
                            <w:pStyle w:val="11"/>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01312A7">
                    <w:pPr>
                      <w:pStyle w:val="11"/>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0C8BC">
    <w:pPr>
      <w:pStyle w:val="1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007757"/>
    <w:multiLevelType w:val="singleLevel"/>
    <w:tmpl w:val="B7007757"/>
    <w:lvl w:ilvl="0" w:tentative="0">
      <w:start w:val="3"/>
      <w:numFmt w:val="chineseCounting"/>
      <w:suff w:val="nothing"/>
      <w:lvlText w:val="（%1）"/>
      <w:lvlJc w:val="left"/>
      <w:rPr>
        <w:rFonts w:hint="eastAsia"/>
      </w:rPr>
    </w:lvl>
  </w:abstractNum>
  <w:abstractNum w:abstractNumId="1">
    <w:nsid w:val="1DA81563"/>
    <w:multiLevelType w:val="singleLevel"/>
    <w:tmpl w:val="1DA81563"/>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6601E"/>
    <w:rsid w:val="019846E3"/>
    <w:rsid w:val="01B6046E"/>
    <w:rsid w:val="01B666C0"/>
    <w:rsid w:val="01BC7971"/>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254D6"/>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C136C9"/>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A76D63"/>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476E94"/>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269A8"/>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C552D"/>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9025A"/>
    <w:rsid w:val="11EA4DE7"/>
    <w:rsid w:val="11EE77B0"/>
    <w:rsid w:val="11F052D6"/>
    <w:rsid w:val="11F058CE"/>
    <w:rsid w:val="11F12DFD"/>
    <w:rsid w:val="11FC3F3B"/>
    <w:rsid w:val="12110B1B"/>
    <w:rsid w:val="123A69E4"/>
    <w:rsid w:val="12445622"/>
    <w:rsid w:val="124D3BAD"/>
    <w:rsid w:val="1250061C"/>
    <w:rsid w:val="12577104"/>
    <w:rsid w:val="125A52C4"/>
    <w:rsid w:val="12655D96"/>
    <w:rsid w:val="127557DC"/>
    <w:rsid w:val="127A564B"/>
    <w:rsid w:val="128E3C38"/>
    <w:rsid w:val="129B676B"/>
    <w:rsid w:val="12BF2922"/>
    <w:rsid w:val="12C30C3D"/>
    <w:rsid w:val="12C942C8"/>
    <w:rsid w:val="12D06EB6"/>
    <w:rsid w:val="12DC5F5E"/>
    <w:rsid w:val="12DC7F8C"/>
    <w:rsid w:val="12E82A0B"/>
    <w:rsid w:val="12E84200"/>
    <w:rsid w:val="131873D2"/>
    <w:rsid w:val="131D498C"/>
    <w:rsid w:val="132533D6"/>
    <w:rsid w:val="13274F9C"/>
    <w:rsid w:val="13392CAD"/>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22675"/>
    <w:rsid w:val="14944440"/>
    <w:rsid w:val="14A059A0"/>
    <w:rsid w:val="14A800EA"/>
    <w:rsid w:val="14B97B05"/>
    <w:rsid w:val="14CD31B9"/>
    <w:rsid w:val="14DA6BBE"/>
    <w:rsid w:val="14DB226E"/>
    <w:rsid w:val="14DE5E10"/>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90318"/>
    <w:rsid w:val="15CC3B64"/>
    <w:rsid w:val="15CF6FE1"/>
    <w:rsid w:val="15D469C1"/>
    <w:rsid w:val="160055BA"/>
    <w:rsid w:val="160475A2"/>
    <w:rsid w:val="160F71A0"/>
    <w:rsid w:val="162304BC"/>
    <w:rsid w:val="16260CA4"/>
    <w:rsid w:val="164D0F49"/>
    <w:rsid w:val="165014D1"/>
    <w:rsid w:val="166266B1"/>
    <w:rsid w:val="16932BF5"/>
    <w:rsid w:val="169528F0"/>
    <w:rsid w:val="16C724D4"/>
    <w:rsid w:val="16D411E7"/>
    <w:rsid w:val="16ED0036"/>
    <w:rsid w:val="17032E1B"/>
    <w:rsid w:val="170756D4"/>
    <w:rsid w:val="170F4587"/>
    <w:rsid w:val="173043C7"/>
    <w:rsid w:val="17591B70"/>
    <w:rsid w:val="17600C81"/>
    <w:rsid w:val="176115DC"/>
    <w:rsid w:val="176D7525"/>
    <w:rsid w:val="17740758"/>
    <w:rsid w:val="17824660"/>
    <w:rsid w:val="178F2FF8"/>
    <w:rsid w:val="179121FE"/>
    <w:rsid w:val="17915931"/>
    <w:rsid w:val="17C41ABF"/>
    <w:rsid w:val="17C4465B"/>
    <w:rsid w:val="17CF257F"/>
    <w:rsid w:val="17E02C2C"/>
    <w:rsid w:val="17E92EF4"/>
    <w:rsid w:val="18057602"/>
    <w:rsid w:val="18175D56"/>
    <w:rsid w:val="18276B10"/>
    <w:rsid w:val="18627B26"/>
    <w:rsid w:val="18695DE3"/>
    <w:rsid w:val="18930C59"/>
    <w:rsid w:val="189B5F22"/>
    <w:rsid w:val="18A70256"/>
    <w:rsid w:val="18A70F0E"/>
    <w:rsid w:val="18A944F8"/>
    <w:rsid w:val="18B73074"/>
    <w:rsid w:val="18CC0A2E"/>
    <w:rsid w:val="18DA76F1"/>
    <w:rsid w:val="18E57F8F"/>
    <w:rsid w:val="18E86D07"/>
    <w:rsid w:val="18EC2236"/>
    <w:rsid w:val="18EE47F3"/>
    <w:rsid w:val="18F5267A"/>
    <w:rsid w:val="19034C2D"/>
    <w:rsid w:val="1916127C"/>
    <w:rsid w:val="19166340"/>
    <w:rsid w:val="191B662F"/>
    <w:rsid w:val="192F13FC"/>
    <w:rsid w:val="193D465D"/>
    <w:rsid w:val="193D4E12"/>
    <w:rsid w:val="19483C4A"/>
    <w:rsid w:val="194F322A"/>
    <w:rsid w:val="196C6238"/>
    <w:rsid w:val="198A59D6"/>
    <w:rsid w:val="19A73D74"/>
    <w:rsid w:val="19AA5416"/>
    <w:rsid w:val="19CD1CDB"/>
    <w:rsid w:val="19CE7FF6"/>
    <w:rsid w:val="19D11E91"/>
    <w:rsid w:val="19D70C6D"/>
    <w:rsid w:val="19E2271F"/>
    <w:rsid w:val="1A02523A"/>
    <w:rsid w:val="1A075570"/>
    <w:rsid w:val="1A1C623A"/>
    <w:rsid w:val="1A265143"/>
    <w:rsid w:val="1A270D5F"/>
    <w:rsid w:val="1A442027"/>
    <w:rsid w:val="1A4C65B4"/>
    <w:rsid w:val="1A4D4CED"/>
    <w:rsid w:val="1A6861C1"/>
    <w:rsid w:val="1A6E148E"/>
    <w:rsid w:val="1A797469"/>
    <w:rsid w:val="1A8850B8"/>
    <w:rsid w:val="1A9B5FFB"/>
    <w:rsid w:val="1AA066C8"/>
    <w:rsid w:val="1ABF2F84"/>
    <w:rsid w:val="1AC11F06"/>
    <w:rsid w:val="1ADB0B95"/>
    <w:rsid w:val="1AE31E7C"/>
    <w:rsid w:val="1AF80851"/>
    <w:rsid w:val="1B0361BC"/>
    <w:rsid w:val="1B097409"/>
    <w:rsid w:val="1B116412"/>
    <w:rsid w:val="1B262D26"/>
    <w:rsid w:val="1B2670F4"/>
    <w:rsid w:val="1B2D1E19"/>
    <w:rsid w:val="1B2D7FD6"/>
    <w:rsid w:val="1B3165F8"/>
    <w:rsid w:val="1B3A5220"/>
    <w:rsid w:val="1B3B258E"/>
    <w:rsid w:val="1B3E7000"/>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C5EA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2F53D8"/>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1C3D7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A1A2C"/>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003139"/>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3A2E44"/>
    <w:rsid w:val="28523AB6"/>
    <w:rsid w:val="285F5293"/>
    <w:rsid w:val="28622D71"/>
    <w:rsid w:val="286A3DDE"/>
    <w:rsid w:val="286E69FD"/>
    <w:rsid w:val="28740524"/>
    <w:rsid w:val="28A10C81"/>
    <w:rsid w:val="28B83236"/>
    <w:rsid w:val="28BC12D3"/>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CA7A73"/>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3B319A"/>
    <w:rsid w:val="2C5028B1"/>
    <w:rsid w:val="2C6436A6"/>
    <w:rsid w:val="2C7A2A8F"/>
    <w:rsid w:val="2C8C13C3"/>
    <w:rsid w:val="2C8F6502"/>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E64648"/>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601A6"/>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07EBA"/>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D8534E"/>
    <w:rsid w:val="33ED39C2"/>
    <w:rsid w:val="3402309A"/>
    <w:rsid w:val="340F56DE"/>
    <w:rsid w:val="342235BE"/>
    <w:rsid w:val="3425597D"/>
    <w:rsid w:val="342804A8"/>
    <w:rsid w:val="342A5DF5"/>
    <w:rsid w:val="34331D5F"/>
    <w:rsid w:val="343819DA"/>
    <w:rsid w:val="344851FD"/>
    <w:rsid w:val="346A0AC1"/>
    <w:rsid w:val="34833DD7"/>
    <w:rsid w:val="34993CA2"/>
    <w:rsid w:val="349B5E0E"/>
    <w:rsid w:val="34A432B6"/>
    <w:rsid w:val="34AA020B"/>
    <w:rsid w:val="34B451A4"/>
    <w:rsid w:val="34B5782A"/>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5F5713F"/>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DE5455"/>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BD262D"/>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AB25D8"/>
    <w:rsid w:val="3AC54CA3"/>
    <w:rsid w:val="3ACD43C9"/>
    <w:rsid w:val="3AEE2C6F"/>
    <w:rsid w:val="3AF47336"/>
    <w:rsid w:val="3AFF2C64"/>
    <w:rsid w:val="3B010619"/>
    <w:rsid w:val="3B135A0E"/>
    <w:rsid w:val="3B2F69DB"/>
    <w:rsid w:val="3B37164A"/>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05003"/>
    <w:rsid w:val="3C37637A"/>
    <w:rsid w:val="3C4A12AD"/>
    <w:rsid w:val="3C5125FC"/>
    <w:rsid w:val="3C666012"/>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D768E8"/>
    <w:rsid w:val="3FE03B95"/>
    <w:rsid w:val="3FED63B1"/>
    <w:rsid w:val="40031733"/>
    <w:rsid w:val="40076D3D"/>
    <w:rsid w:val="400B13AA"/>
    <w:rsid w:val="400C6ED0"/>
    <w:rsid w:val="400F3658"/>
    <w:rsid w:val="40112738"/>
    <w:rsid w:val="401F65F0"/>
    <w:rsid w:val="402B37FA"/>
    <w:rsid w:val="4033445D"/>
    <w:rsid w:val="404228F2"/>
    <w:rsid w:val="404470DB"/>
    <w:rsid w:val="40464190"/>
    <w:rsid w:val="40477F08"/>
    <w:rsid w:val="404C2292"/>
    <w:rsid w:val="405D572D"/>
    <w:rsid w:val="406B52E0"/>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9E0C50"/>
    <w:rsid w:val="44A72CB4"/>
    <w:rsid w:val="44DC0CFE"/>
    <w:rsid w:val="44DC4FCA"/>
    <w:rsid w:val="44FC7513"/>
    <w:rsid w:val="44FD1C6D"/>
    <w:rsid w:val="45245377"/>
    <w:rsid w:val="453F207E"/>
    <w:rsid w:val="454276A8"/>
    <w:rsid w:val="454513E5"/>
    <w:rsid w:val="45465AD9"/>
    <w:rsid w:val="45552589"/>
    <w:rsid w:val="45637F73"/>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A4AAE"/>
    <w:rsid w:val="49441489"/>
    <w:rsid w:val="49470D20"/>
    <w:rsid w:val="4948117F"/>
    <w:rsid w:val="494B0B0D"/>
    <w:rsid w:val="49503E42"/>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80DFB"/>
    <w:rsid w:val="4A2D1B99"/>
    <w:rsid w:val="4A343D11"/>
    <w:rsid w:val="4A413C1A"/>
    <w:rsid w:val="4A4551BE"/>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F15EB"/>
    <w:rsid w:val="4E250E8C"/>
    <w:rsid w:val="4E347D1E"/>
    <w:rsid w:val="4E355E12"/>
    <w:rsid w:val="4E50159D"/>
    <w:rsid w:val="4E5A7AD3"/>
    <w:rsid w:val="4E5D7C3A"/>
    <w:rsid w:val="4E8D762E"/>
    <w:rsid w:val="4E9B1112"/>
    <w:rsid w:val="4EA06365"/>
    <w:rsid w:val="4EA8347A"/>
    <w:rsid w:val="4EBD3915"/>
    <w:rsid w:val="4ECD54B1"/>
    <w:rsid w:val="4ED1099E"/>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975776"/>
    <w:rsid w:val="4FB21842"/>
    <w:rsid w:val="4FB75BBE"/>
    <w:rsid w:val="4FB8211B"/>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92CAC"/>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5F2D48"/>
    <w:rsid w:val="54606BAB"/>
    <w:rsid w:val="54883400"/>
    <w:rsid w:val="54932F58"/>
    <w:rsid w:val="54A243B8"/>
    <w:rsid w:val="54A81CB5"/>
    <w:rsid w:val="54AF4262"/>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D2567"/>
    <w:rsid w:val="585F1862"/>
    <w:rsid w:val="58620D26"/>
    <w:rsid w:val="58694A68"/>
    <w:rsid w:val="586B07E0"/>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AE3965"/>
    <w:rsid w:val="59B40569"/>
    <w:rsid w:val="59BB5428"/>
    <w:rsid w:val="59CD7278"/>
    <w:rsid w:val="59D16D68"/>
    <w:rsid w:val="59D80DBD"/>
    <w:rsid w:val="59EF3692"/>
    <w:rsid w:val="5A0336C4"/>
    <w:rsid w:val="5A1D0D82"/>
    <w:rsid w:val="5A1F7AD4"/>
    <w:rsid w:val="5A20315B"/>
    <w:rsid w:val="5A3B2D8E"/>
    <w:rsid w:val="5A4C2893"/>
    <w:rsid w:val="5A5009C7"/>
    <w:rsid w:val="5A51593C"/>
    <w:rsid w:val="5A5229A5"/>
    <w:rsid w:val="5A5827FE"/>
    <w:rsid w:val="5A6951F3"/>
    <w:rsid w:val="5A70211C"/>
    <w:rsid w:val="5A9164F8"/>
    <w:rsid w:val="5AA147E3"/>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34DCF"/>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7D46AF"/>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DB068E"/>
    <w:rsid w:val="5FE33352"/>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2C2FD4"/>
    <w:rsid w:val="613170F5"/>
    <w:rsid w:val="61432D9E"/>
    <w:rsid w:val="614623F7"/>
    <w:rsid w:val="615D3929"/>
    <w:rsid w:val="61683AEB"/>
    <w:rsid w:val="618A70BC"/>
    <w:rsid w:val="618D5E50"/>
    <w:rsid w:val="618F442A"/>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9C5FF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24191"/>
    <w:rsid w:val="632A3D0D"/>
    <w:rsid w:val="633443AB"/>
    <w:rsid w:val="63424F7E"/>
    <w:rsid w:val="63510A38"/>
    <w:rsid w:val="6353750E"/>
    <w:rsid w:val="637569B7"/>
    <w:rsid w:val="637F5A87"/>
    <w:rsid w:val="638857E1"/>
    <w:rsid w:val="63977DC5"/>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3E5275"/>
    <w:rsid w:val="64591E34"/>
    <w:rsid w:val="647527CB"/>
    <w:rsid w:val="647C3D75"/>
    <w:rsid w:val="648A0F84"/>
    <w:rsid w:val="648E4974"/>
    <w:rsid w:val="648F4377"/>
    <w:rsid w:val="64994927"/>
    <w:rsid w:val="649E65A7"/>
    <w:rsid w:val="64B47494"/>
    <w:rsid w:val="64B70C4D"/>
    <w:rsid w:val="64CE386A"/>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80DDC"/>
    <w:rsid w:val="65BD55BD"/>
    <w:rsid w:val="65C53449"/>
    <w:rsid w:val="65D2305C"/>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3E6A34"/>
    <w:rsid w:val="685C5B46"/>
    <w:rsid w:val="685E6B05"/>
    <w:rsid w:val="68633281"/>
    <w:rsid w:val="686F1486"/>
    <w:rsid w:val="687C4343"/>
    <w:rsid w:val="6888718C"/>
    <w:rsid w:val="688C0656"/>
    <w:rsid w:val="68953657"/>
    <w:rsid w:val="68AE1735"/>
    <w:rsid w:val="68B72950"/>
    <w:rsid w:val="68D60630"/>
    <w:rsid w:val="68E00D76"/>
    <w:rsid w:val="68ED6FEF"/>
    <w:rsid w:val="68F00432"/>
    <w:rsid w:val="68F8555D"/>
    <w:rsid w:val="691D712E"/>
    <w:rsid w:val="6931512E"/>
    <w:rsid w:val="693D7F76"/>
    <w:rsid w:val="69562DE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811E3"/>
    <w:rsid w:val="6D6A2DB3"/>
    <w:rsid w:val="6D6A69AA"/>
    <w:rsid w:val="6D79127B"/>
    <w:rsid w:val="6D832281"/>
    <w:rsid w:val="6D87693B"/>
    <w:rsid w:val="6D9F0094"/>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CB392F"/>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6FED0208"/>
    <w:rsid w:val="700148B1"/>
    <w:rsid w:val="700708F2"/>
    <w:rsid w:val="70262445"/>
    <w:rsid w:val="702F49B2"/>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4C4258"/>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336A7"/>
    <w:rsid w:val="727442DD"/>
    <w:rsid w:val="728E7595"/>
    <w:rsid w:val="72A70177"/>
    <w:rsid w:val="72CD2240"/>
    <w:rsid w:val="72D75819"/>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93846"/>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D457BF"/>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26DFA"/>
    <w:rsid w:val="776668EA"/>
    <w:rsid w:val="777C1603"/>
    <w:rsid w:val="777D1E86"/>
    <w:rsid w:val="77814A03"/>
    <w:rsid w:val="77A14CDE"/>
    <w:rsid w:val="77AA2F7D"/>
    <w:rsid w:val="77BE04D4"/>
    <w:rsid w:val="77C96BD3"/>
    <w:rsid w:val="77D17C4B"/>
    <w:rsid w:val="77E616E5"/>
    <w:rsid w:val="77F263D0"/>
    <w:rsid w:val="77F75794"/>
    <w:rsid w:val="78266CE5"/>
    <w:rsid w:val="7827421F"/>
    <w:rsid w:val="782B4A23"/>
    <w:rsid w:val="78302F8F"/>
    <w:rsid w:val="784117AB"/>
    <w:rsid w:val="78510397"/>
    <w:rsid w:val="78552936"/>
    <w:rsid w:val="78731F0E"/>
    <w:rsid w:val="78754CBA"/>
    <w:rsid w:val="78822E32"/>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CE2AA1"/>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2D1921"/>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7A60F1"/>
    <w:rsid w:val="7CA33449"/>
    <w:rsid w:val="7CB93F8B"/>
    <w:rsid w:val="7CBF7B20"/>
    <w:rsid w:val="7CC876FF"/>
    <w:rsid w:val="7CCE4D69"/>
    <w:rsid w:val="7D050953"/>
    <w:rsid w:val="7D0A0BA4"/>
    <w:rsid w:val="7D1017D5"/>
    <w:rsid w:val="7D107AF3"/>
    <w:rsid w:val="7D24527D"/>
    <w:rsid w:val="7D3E3E65"/>
    <w:rsid w:val="7D4253C7"/>
    <w:rsid w:val="7D492008"/>
    <w:rsid w:val="7D4C5341"/>
    <w:rsid w:val="7D4E5EE6"/>
    <w:rsid w:val="7D5A0C9F"/>
    <w:rsid w:val="7D5F62B6"/>
    <w:rsid w:val="7D87580C"/>
    <w:rsid w:val="7D8901AD"/>
    <w:rsid w:val="7D8E577D"/>
    <w:rsid w:val="7D9A426A"/>
    <w:rsid w:val="7DC2229A"/>
    <w:rsid w:val="7DD00A7F"/>
    <w:rsid w:val="7DED3C92"/>
    <w:rsid w:val="7DF82FD6"/>
    <w:rsid w:val="7E006F08"/>
    <w:rsid w:val="7E01736D"/>
    <w:rsid w:val="7E333E03"/>
    <w:rsid w:val="7E391FE6"/>
    <w:rsid w:val="7E591F2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5206</Words>
  <Characters>5960</Characters>
  <Lines>0</Lines>
  <Paragraphs>0</Paragraphs>
  <TotalTime>13</TotalTime>
  <ScaleCrop>false</ScaleCrop>
  <LinksUpToDate>false</LinksUpToDate>
  <CharactersWithSpaces>6185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2025-07-04T08:43:00Z</cp:lastPrinted>
  <dcterms:modified xsi:type="dcterms:W3CDTF">2025-07-09T09:15:56Z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3DC1C1C5EC6741F69426F536341F9981</vt:lpwstr>
  </property>
  <property fmtid="{D5CDD505-2E9C-101B-9397-08002B2CF9AE}" pid="4" name="KSOTemplateDocerSaveRecord">
    <vt:lpwstr>eyJoZGlkIjoiODQ5NjkzN2ZlZjQxZjYzMzcyZDI3NmZhNzYzYWFlNDAiLCJ1c2VySWQiOiI0MjMyNDI2MzkifQ==</vt:lpwstr>
  </property>
</Properties>
</file>