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安徽通康建设工程有限公司分布式光伏发电项目</w:t>
      </w:r>
    </w:p>
    <w:p>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设备保险采购</w:t>
      </w:r>
    </w:p>
    <w:permEnd w:id="0"/>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询</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AHTKJS-2025-53号</w:t>
      </w:r>
      <w:permEnd w:id="1"/>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月25日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u w:val="single"/>
          <w:lang w:val="en-US" w:eastAsia="zh-CN"/>
        </w:rPr>
      </w:pPr>
      <w:permStart w:id="4" w:edGrp="everyone"/>
      <w:r>
        <w:rPr>
          <w:rFonts w:hint="eastAsia" w:ascii="Times New Roman" w:hAnsi="Times New Roman" w:eastAsia="黑体" w:cs="Times New Roman"/>
          <w:sz w:val="28"/>
          <w:szCs w:val="28"/>
          <w:highlight w:val="none"/>
          <w:u w:val="single"/>
          <w:lang w:val="en-US" w:eastAsia="zh-CN"/>
        </w:rPr>
        <w:t>安徽通康建设工程有限公司分布式光伏发电项目设备保险采购</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询比公告</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247085680"/>
      <w:bookmarkStart w:id="3" w:name="_Toc152042295"/>
      <w:bookmarkStart w:id="4" w:name="_Toc179632536"/>
      <w:bookmarkStart w:id="5" w:name="_Toc296602410"/>
      <w:bookmarkStart w:id="6" w:name="_Toc152045519"/>
      <w:bookmarkStart w:id="7" w:name="_Toc246996166"/>
      <w:r>
        <w:rPr>
          <w:rFonts w:hint="eastAsia" w:ascii="宋体" w:hAnsi="宋体" w:eastAsia="宋体" w:cs="宋体"/>
          <w:sz w:val="28"/>
          <w:szCs w:val="28"/>
          <w:highlight w:val="none"/>
          <w:u w:val="single"/>
          <w:lang w:val="en-US" w:eastAsia="zh-CN"/>
        </w:rPr>
        <w:t>安徽通康建设工程有限公司分布式光伏发电项目设备保险采购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bookmarkStart w:id="8" w:name="_Toc152042296"/>
      <w:bookmarkStart w:id="9" w:name="_Toc144974488"/>
      <w:bookmarkStart w:id="10" w:name="_Toc296602411"/>
      <w:bookmarkStart w:id="11" w:name="_Toc179632537"/>
      <w:bookmarkStart w:id="12" w:name="_Toc246996910"/>
      <w:bookmarkStart w:id="13" w:name="_Toc247085681"/>
      <w:bookmarkStart w:id="14" w:name="_Toc152045520"/>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lang w:val="en-US" w:eastAsia="zh-CN"/>
        </w:rPr>
        <w:t>安徽通康建设工程有限公司分布式光伏发电项目设备保险采购</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bookmarkEnd w:id="8"/>
      <w:bookmarkEnd w:id="9"/>
      <w:bookmarkEnd w:id="10"/>
      <w:bookmarkEnd w:id="11"/>
      <w:bookmarkEnd w:id="12"/>
      <w:bookmarkEnd w:id="13"/>
      <w:bookmarkEnd w:id="14"/>
      <w:bookmarkEnd w:id="15"/>
      <w:permStart w:id="6" w:edGrp="everyone"/>
      <w:r>
        <w:rPr>
          <w:rFonts w:hint="eastAsia" w:asciiTheme="minorEastAsia" w:hAnsiTheme="minorEastAsia" w:cstheme="minorEastAsia"/>
          <w:sz w:val="28"/>
          <w:szCs w:val="28"/>
          <w:highlight w:val="none"/>
          <w:lang w:val="en-US" w:eastAsia="zh-CN"/>
        </w:rPr>
        <w:t>AHTKJS-2025-53号</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（含税：6%）</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24万元/年</w:t>
      </w:r>
      <w:r>
        <w:rPr>
          <w:rFonts w:hint="eastAsia" w:asciiTheme="minorEastAsia" w:hAnsiTheme="minorEastAsia" w:eastAsiaTheme="minorEastAsia" w:cstheme="minorEastAsia"/>
          <w:kern w:val="2"/>
          <w:sz w:val="28"/>
          <w:szCs w:val="28"/>
          <w:highlight w:val="none"/>
          <w:lang w:val="en-US" w:eastAsia="zh-CN"/>
        </w:rPr>
        <w:t>，报价分为财产一切险和公众责任险两部分。①财产一切险由供应商按自主定价系数报价，最高限价系数为0.2%；②公众责任险按固定单价报价，最高限价为5000元；供应商应在国家政策允许范围内给予采购人最大优惠。报价需符合国家银保监会有关规定，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widowControl/>
        <w:suppressLineNumbers w:val="0"/>
        <w:spacing w:beforeAutospacing="0" w:afterAutospacing="0" w:line="520" w:lineRule="exact"/>
        <w:ind w:left="0" w:firstLine="560" w:firstLineChars="200"/>
        <w:jc w:val="left"/>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本次采购范围为安徽通康分布式光伏发电项目9个项目设备保险（财产一切险、公众责任险），采购内容详见采购清单。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r>
        <w:rPr>
          <w:rFonts w:hint="eastAsia" w:asciiTheme="minorEastAsia" w:hAnsiTheme="minorEastAsia" w:eastAsiaTheme="minorEastAsia" w:cstheme="minorEastAsia"/>
          <w:sz w:val="28"/>
          <w:szCs w:val="28"/>
          <w:highlight w:val="none"/>
          <w:lang w:val="en-US" w:eastAsia="zh-CN"/>
        </w:rPr>
        <w:t>：自合同签订之日起2年</w:t>
      </w:r>
      <w:r>
        <w:rPr>
          <w:rFonts w:hint="eastAsia" w:asciiTheme="minorEastAsia" w:hAnsiTheme="minorEastAsia" w:cstheme="minorEastAsia"/>
          <w:sz w:val="28"/>
          <w:szCs w:val="28"/>
          <w:highlight w:val="none"/>
          <w:lang w:val="en-US" w:eastAsia="zh-CN"/>
        </w:rPr>
        <w:t>（一年一签）</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安徽通康分布式光伏发电项目设备保险采购项目位于亳州市谯城区及涡阳县所建项目，总装机容量交流侧29768kW，直流侧35236.17kWp。</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符合国家、地方、行业现行相关规范合格标准。</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具有独立承担民事责任的能力，保险公司可委托其分公司参加询比，但同一保险公司仅能委托一个分公司参加询比；</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（二）资质要求：具有由保险监督管理机构颁发的有效的《中华人民共和国经营保险业务许可证》；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9" w:edGrp="everyone"/>
      <w:r>
        <w:rPr>
          <w:rFonts w:hint="default" w:asciiTheme="minorEastAsia" w:hAnsiTheme="minorEastAsia" w:eastAsiaTheme="minorEastAsia" w:cstheme="minorEastAsia"/>
          <w:sz w:val="28"/>
          <w:szCs w:val="28"/>
          <w:highlight w:val="none"/>
          <w:lang w:val="en-US" w:eastAsia="zh-CN"/>
        </w:rPr>
        <w:t>提</w:t>
      </w:r>
      <w:r>
        <w:rPr>
          <w:rFonts w:hint="eastAsia" w:asciiTheme="minorEastAsia" w:hAnsiTheme="minorEastAsia" w:cstheme="minorEastAsia"/>
          <w:sz w:val="28"/>
          <w:szCs w:val="28"/>
          <w:highlight w:val="none"/>
          <w:lang w:val="en-US" w:eastAsia="zh-CN"/>
        </w:rPr>
        <w:t>供资质证书等相关资料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9"/>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0" w:edGrp="everyone"/>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2025 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eastAsiaTheme="minorEastAsia" w:cstheme="minorEastAsia"/>
          <w:sz w:val="28"/>
          <w:szCs w:val="28"/>
          <w:highlight w:val="none"/>
          <w:u w:val="single"/>
          <w:lang w:val="en-US" w:eastAsia="zh-CN"/>
        </w:rPr>
        <w:t>月</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u w:val="singl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eastAsiaTheme="minorEastAsia" w:cstheme="minorEastAsia"/>
          <w:sz w:val="28"/>
          <w:szCs w:val="28"/>
          <w:highlight w:val="none"/>
          <w:u w:val="singl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eastAsiaTheme="minorEastAsia" w:cstheme="minorEastAsia"/>
          <w:sz w:val="28"/>
          <w:szCs w:val="28"/>
          <w:highlight w:val="none"/>
          <w:u w:val="single"/>
          <w:lang w:val="en-US" w:eastAsia="zh-CN"/>
        </w:rPr>
        <w:t>分</w:t>
      </w:r>
      <w:permEnd w:id="1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2" w:edGrp="everyone"/>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ermEnd w:id="1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r>
        <w:rPr>
          <w:rFonts w:hint="eastAsia" w:asciiTheme="minorEastAsia" w:hAnsiTheme="minorEastAsia" w:cstheme="minorEastAsia"/>
          <w:sz w:val="28"/>
          <w:szCs w:val="28"/>
          <w:highlight w:val="none"/>
          <w:u w:val="single"/>
          <w:lang w:val="en-US" w:eastAsia="zh-CN"/>
        </w:rPr>
        <w:t>联系人：李工；联系电话：18305681505。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不需要递交响应担保</w:t>
      </w:r>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4" w:edGrp="everyone"/>
      <w:r>
        <w:rPr>
          <w:rFonts w:hint="eastAsia" w:asciiTheme="minorEastAsia" w:hAnsiTheme="minorEastAsia" w:cstheme="minorEastAsia"/>
          <w:sz w:val="28"/>
          <w:szCs w:val="28"/>
          <w:highlight w:val="none"/>
          <w:lang w:val="en-US" w:eastAsia="zh-CN"/>
        </w:rPr>
        <w:t>安徽通康建设工程有限公司</w:t>
      </w:r>
    </w:p>
    <w:permEnd w:id="14"/>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5" w:edGrp="everyone"/>
      <w:r>
        <w:rPr>
          <w:rFonts w:hint="eastAsia" w:asciiTheme="minorEastAsia" w:hAnsiTheme="minorEastAsia" w:cstheme="minorEastAsia"/>
          <w:sz w:val="28"/>
          <w:szCs w:val="28"/>
          <w:highlight w:val="none"/>
          <w:lang w:val="en-US" w:eastAsia="zh-CN"/>
        </w:rPr>
        <w:t>施经理</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shd w:val="clear"/>
          <w:lang w:val="en-US" w:eastAsia="zh-CN"/>
        </w:rPr>
        <w:t>18715648625</w:t>
      </w:r>
    </w:p>
    <w:p>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6"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25</w:t>
      </w:r>
      <w:r>
        <w:rPr>
          <w:rFonts w:hint="eastAsia" w:asciiTheme="minorEastAsia" w:hAnsiTheme="minorEastAsia" w:eastAsiaTheme="minorEastAsia" w:cstheme="minorEastAsia"/>
          <w:color w:val="FF0000"/>
          <w:sz w:val="28"/>
          <w:szCs w:val="28"/>
          <w:highlight w:val="none"/>
          <w:lang w:val="en-US" w:eastAsia="zh-CN"/>
        </w:rPr>
        <w:t>日</w:t>
      </w:r>
      <w:permEnd w:id="1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7"/>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19"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日前</w:t>
            </w:r>
            <w:permEnd w:id="1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val="0"/>
              <w:autoSpaceDN w:val="0"/>
              <w:bidi w:val="0"/>
              <w:adjustRightInd w:val="0"/>
              <w:snapToGrid w:val="0"/>
              <w:spacing w:line="440" w:lineRule="exact"/>
              <w:ind w:firstLine="308" w:firstLineChars="147"/>
              <w:jc w:val="left"/>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keepNext w:val="0"/>
              <w:keepLines w:val="0"/>
              <w:pageBreakBefore w:val="0"/>
              <w:widowControl/>
              <w:kinsoku/>
              <w:wordWrap/>
              <w:overflowPunct/>
              <w:topLinePunct w:val="0"/>
              <w:autoSpaceDE w:val="0"/>
              <w:autoSpaceDN w:val="0"/>
              <w:bidi w:val="0"/>
              <w:adjustRightInd w:val="0"/>
              <w:snapToGrid w:val="0"/>
              <w:spacing w:line="440" w:lineRule="exact"/>
              <w:ind w:firstLine="308" w:firstLineChars="147"/>
              <w:jc w:val="left"/>
              <w:textAlignment w:val="auto"/>
              <w:rPr>
                <w:rFonts w:hint="default" w:ascii="Times New Roman" w:hAnsi="Times New Roman" w:eastAsia="仿宋_GB2312" w:cs="Times New Roman"/>
                <w:sz w:val="24"/>
                <w:szCs w:val="24"/>
                <w:lang w:val="en-US" w:eastAsia="zh-CN"/>
              </w:rPr>
            </w:pPr>
            <w:permStart w:id="22" w:edGrp="everyone"/>
            <w:r>
              <w:rPr>
                <w:rFonts w:hint="eastAsia" w:hAnsi="宋体"/>
                <w:color w:val="FF0000"/>
                <w:szCs w:val="21"/>
              </w:rPr>
              <w:t>不需要</w:t>
            </w:r>
            <w:r>
              <w:rPr>
                <w:rFonts w:hint="eastAsia" w:hAnsi="宋体"/>
                <w:color w:val="FF0000"/>
                <w:szCs w:val="21"/>
              </w:rPr>
              <w:sym w:font="Wingdings" w:char="00FE"/>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rPr>
              <w:sym w:font="Wingdings 2" w:char="00A3"/>
            </w:r>
            <w:r>
              <w:rPr>
                <w:rFonts w:hint="eastAsia" w:hAnsi="宋体"/>
                <w:color w:val="FF0000"/>
                <w:szCs w:val="21"/>
                <w:lang w:val="en-US" w:eastAsia="zh-CN"/>
              </w:rPr>
              <w:t xml:space="preserve">   </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3" w:edGrp="everyone"/>
            <w:r>
              <w:rPr>
                <w:rFonts w:hint="eastAsia" w:ascii="Times New Roman" w:hAnsi="Times New Roman" w:cs="Times New Roman"/>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3"/>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安徽通康建设工程有限公司分布式光伏发电项目设备保险采购</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项目编号：AHTKJS-2025-53号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18"/>
              <w:ind w:left="0" w:leftChars="0" w:firstLine="420" w:firstLineChars="200"/>
              <w:jc w:val="left"/>
              <w:rPr>
                <w:rFonts w:hint="default"/>
                <w:lang w:val="en-US" w:eastAsia="zh-CN"/>
              </w:rPr>
            </w:pPr>
            <w:r>
              <w:rPr>
                <w:rFonts w:hint="eastAsia"/>
                <w:lang w:val="en-US" w:eastAsia="zh-CN"/>
              </w:rPr>
              <w:t xml:space="preserve">  </w:t>
            </w:r>
            <w:r>
              <w:rPr>
                <w:rFonts w:hint="eastAsia" w:ascii="Times New Roman" w:hAnsi="Times New Roman" w:cs="Times New Roman"/>
                <w:szCs w:val="21"/>
                <w:highlight w:val="yellow"/>
                <w:lang w:val="en-US" w:eastAsia="zh-CN"/>
              </w:rPr>
              <w:sym w:font="Wingdings" w:char="00FE"/>
            </w:r>
            <w:r>
              <w:rPr>
                <w:rFonts w:hint="eastAsia" w:ascii="Times New Roman" w:hAnsi="Times New Roman" w:cs="Times New Roman"/>
                <w:szCs w:val="21"/>
                <w:highlight w:val="yellow"/>
                <w:lang w:val="en-US" w:eastAsia="zh-CN"/>
              </w:rPr>
              <w:t xml:space="preserve">不转换   </w:t>
            </w:r>
            <w:r>
              <w:rPr>
                <w:rFonts w:hint="eastAsia" w:ascii="Times New Roman" w:hAnsi="Times New Roman" w:cs="Times New Roman"/>
                <w:szCs w:val="21"/>
                <w:highlight w:val="yellow"/>
                <w:lang w:val="en-US" w:eastAsia="zh-CN"/>
              </w:rPr>
              <w:sym w:font="Wingdings" w:char="00A8"/>
            </w:r>
            <w:r>
              <w:rPr>
                <w:rFonts w:hint="eastAsia" w:ascii="Times New Roman" w:hAnsi="Times New Roman" w:cs="Times New Roman"/>
                <w:szCs w:val="21"/>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是否授权询比小组确定成交供应商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2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安徽通康建设工程有限公司法务部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2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要求</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2"/>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79632549"/>
      <w:bookmarkStart w:id="17" w:name="_Toc246996921"/>
      <w:bookmarkStart w:id="18" w:name="_Toc296602423"/>
      <w:bookmarkStart w:id="19" w:name="_Toc247085692"/>
      <w:bookmarkStart w:id="20" w:name="_Toc144974500"/>
      <w:bookmarkStart w:id="21" w:name="_Toc246996178"/>
      <w:bookmarkStart w:id="22" w:name="_Toc152042308"/>
      <w:bookmarkStart w:id="23" w:name="_Toc15204553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152042312"/>
      <w:bookmarkStart w:id="26" w:name="_Toc247085695"/>
      <w:bookmarkStart w:id="27" w:name="_Toc152045536"/>
      <w:bookmarkStart w:id="28" w:name="_Toc246996924"/>
      <w:bookmarkStart w:id="29" w:name="_Toc296602426"/>
      <w:bookmarkStart w:id="30" w:name="_Toc144974504"/>
      <w:bookmarkStart w:id="31" w:name="_Toc246996181"/>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246996182"/>
      <w:bookmarkStart w:id="35" w:name="_Toc296602427"/>
      <w:bookmarkStart w:id="36" w:name="_Toc152042313"/>
      <w:bookmarkStart w:id="37" w:name="_Toc247085696"/>
      <w:bookmarkStart w:id="38" w:name="_Toc179632554"/>
      <w:bookmarkStart w:id="39" w:name="_Toc152045537"/>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52042314"/>
      <w:bookmarkStart w:id="42" w:name="_Toc247085697"/>
      <w:bookmarkStart w:id="43" w:name="_Toc152045538"/>
      <w:bookmarkStart w:id="44" w:name="_Toc179632555"/>
      <w:bookmarkStart w:id="45" w:name="_Toc246996183"/>
      <w:bookmarkStart w:id="46"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152042318"/>
      <w:bookmarkStart w:id="49" w:name="_Toc152045542"/>
      <w:bookmarkStart w:id="50" w:name="_Toc246996187"/>
      <w:bookmarkStart w:id="51" w:name="_Toc144974510"/>
      <w:bookmarkStart w:id="52" w:name="_Toc246996930"/>
      <w:bookmarkStart w:id="53" w:name="_Toc296602432"/>
      <w:bookmarkStart w:id="54" w:name="_Toc17963256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7085702"/>
      <w:bookmarkStart w:id="56" w:name="_Toc144974511"/>
      <w:bookmarkStart w:id="57" w:name="_Toc246996931"/>
      <w:bookmarkStart w:id="58" w:name="_Toc152042319"/>
      <w:bookmarkStart w:id="59" w:name="_Toc152045543"/>
      <w:bookmarkStart w:id="60" w:name="_Toc296602433"/>
      <w:bookmarkStart w:id="61" w:name="_Toc179632561"/>
      <w:bookmarkStart w:id="62" w:name="_Toc246996188"/>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246996932"/>
      <w:bookmarkStart w:id="65" w:name="_Toc144974512"/>
      <w:bookmarkStart w:id="66" w:name="_Toc246996189"/>
      <w:bookmarkStart w:id="67" w:name="_Toc247085703"/>
      <w:bookmarkStart w:id="68" w:name="_Toc296602434"/>
      <w:bookmarkStart w:id="69" w:name="_Toc152045544"/>
      <w:bookmarkStart w:id="70" w:name="_Toc152042320"/>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44974513"/>
      <w:bookmarkStart w:id="72" w:name="_Toc246996190"/>
      <w:bookmarkStart w:id="73" w:name="_Toc179632563"/>
      <w:bookmarkStart w:id="74" w:name="_Toc296602435"/>
      <w:bookmarkStart w:id="75" w:name="_Toc246996933"/>
      <w:bookmarkStart w:id="76" w:name="_Toc152045545"/>
      <w:bookmarkStart w:id="77" w:name="_Toc152042321"/>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79" w:name="_Toc246996934"/>
      <w:bookmarkStart w:id="80" w:name="_Toc152045546"/>
      <w:bookmarkStart w:id="81" w:name="_Toc179632564"/>
      <w:bookmarkStart w:id="82" w:name="_Toc144974514"/>
      <w:bookmarkStart w:id="83" w:name="_Toc246996191"/>
      <w:bookmarkStart w:id="84" w:name="_Toc152042322"/>
      <w:bookmarkStart w:id="85" w:name="_Toc247085705"/>
      <w:bookmarkStart w:id="86" w:name="_Toc296602436"/>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2"/>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7085706"/>
      <w:bookmarkStart w:id="88" w:name="_Toc246996192"/>
      <w:bookmarkStart w:id="89" w:name="_Toc246996935"/>
      <w:bookmarkStart w:id="90" w:name="_Toc144974515"/>
      <w:bookmarkStart w:id="91" w:name="_Toc179632565"/>
      <w:bookmarkStart w:id="92" w:name="_Toc152042323"/>
      <w:bookmarkStart w:id="93" w:name="_Toc152045547"/>
      <w:bookmarkStart w:id="94"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bookmarkStart w:id="95" w:name="_Toc247085707"/>
      <w:bookmarkStart w:id="96" w:name="_Toc296602438"/>
      <w:bookmarkStart w:id="97" w:name="_Toc144974516"/>
      <w:bookmarkStart w:id="98" w:name="_Toc152042324"/>
      <w:bookmarkStart w:id="99" w:name="_Toc152045548"/>
      <w:bookmarkStart w:id="100" w:name="_Toc246996936"/>
      <w:bookmarkStart w:id="101" w:name="_Toc246996193"/>
      <w:bookmarkStart w:id="102" w:name="_Toc179632566"/>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79632567"/>
      <w:bookmarkStart w:id="105" w:name="_Toc152045549"/>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7085708"/>
      <w:bookmarkStart w:id="109" w:name="_Toc246996937"/>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2"/>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13"/>
      <w:bookmarkStart w:id="112" w:name="_Toc179632573"/>
      <w:bookmarkStart w:id="113" w:name="_Toc246996942"/>
      <w:bookmarkStart w:id="114" w:name="_Toc246996199"/>
      <w:bookmarkStart w:id="115" w:name="_Toc152042331"/>
      <w:bookmarkStart w:id="116" w:name="_Toc152045555"/>
      <w:bookmarkStart w:id="117" w:name="_Toc144974523"/>
      <w:bookmarkStart w:id="118" w:name="_Toc29660244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96602444"/>
      <w:bookmarkStart w:id="120" w:name="_Toc144974524"/>
      <w:bookmarkStart w:id="121" w:name="_Toc152045556"/>
      <w:bookmarkStart w:id="122" w:name="_Toc246996943"/>
      <w:bookmarkStart w:id="123" w:name="_Toc247085714"/>
      <w:bookmarkStart w:id="124" w:name="_Toc152042332"/>
      <w:bookmarkStart w:id="125" w:name="_Toc246996200"/>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944"/>
      <w:bookmarkStart w:id="129" w:name="_Toc152042333"/>
      <w:bookmarkStart w:id="130" w:name="_Toc246996201"/>
      <w:bookmarkStart w:id="131" w:name="_Toc152045557"/>
      <w:bookmarkStart w:id="132" w:name="_Toc247085715"/>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2"/>
      <w:bookmarkStart w:id="135" w:name="_Toc152045558"/>
      <w:bookmarkStart w:id="136" w:name="_Toc152042334"/>
      <w:bookmarkStart w:id="137" w:name="_Toc246996945"/>
      <w:bookmarkStart w:id="138" w:name="_Toc179632576"/>
      <w:bookmarkStart w:id="139" w:name="_Toc144974526"/>
      <w:bookmarkStart w:id="140" w:name="_Toc296602446"/>
      <w:bookmarkStart w:id="141" w:name="_Toc24708571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2"/>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152045559"/>
      <w:bookmarkStart w:id="144" w:name="_Toc246996946"/>
      <w:bookmarkStart w:id="145" w:name="_Toc179632577"/>
      <w:bookmarkStart w:id="146" w:name="_Toc144974527"/>
      <w:bookmarkStart w:id="147" w:name="_Toc247085717"/>
      <w:bookmarkStart w:id="148" w:name="_Toc29660244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179632578"/>
      <w:bookmarkStart w:id="152" w:name="_Toc152045560"/>
      <w:bookmarkStart w:id="153" w:name="_Toc296602448"/>
      <w:bookmarkStart w:id="154" w:name="_Toc152042336"/>
      <w:bookmarkStart w:id="155" w:name="_Toc246996204"/>
      <w:bookmarkStart w:id="156" w:name="_Toc144974528"/>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9"/>
      <w:bookmarkStart w:id="159" w:name="_Toc296602449"/>
      <w:bookmarkStart w:id="160" w:name="_Toc246996205"/>
      <w:bookmarkStart w:id="161" w:name="_Toc247085719"/>
      <w:bookmarkStart w:id="162" w:name="_Toc144974529"/>
      <w:bookmarkStart w:id="163" w:name="_Toc152042337"/>
      <w:bookmarkStart w:id="164" w:name="_Toc152045561"/>
      <w:bookmarkStart w:id="165" w:name="_Toc246996948"/>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9"/>
      <w:bookmarkStart w:id="167" w:name="_Toc152045563"/>
      <w:bookmarkStart w:id="168" w:name="_Toc246996950"/>
      <w:bookmarkStart w:id="169" w:name="_Toc246996207"/>
      <w:bookmarkStart w:id="170" w:name="_Toc144974531"/>
      <w:bookmarkStart w:id="171" w:name="_Toc296602452"/>
      <w:bookmarkStart w:id="172" w:name="_Toc247085721"/>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2"/>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79632584"/>
      <w:bookmarkStart w:id="176" w:name="_Toc246996953"/>
      <w:bookmarkStart w:id="177" w:name="_Toc246996210"/>
      <w:bookmarkStart w:id="178" w:name="_Toc152045566"/>
      <w:bookmarkStart w:id="179" w:name="_Toc152042342"/>
      <w:bookmarkStart w:id="180" w:name="_Toc144974534"/>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35"/>
      <w:bookmarkStart w:id="183" w:name="_Toc247085725"/>
      <w:bookmarkStart w:id="184" w:name="_Toc152042343"/>
      <w:bookmarkStart w:id="185" w:name="_Toc246996954"/>
      <w:bookmarkStart w:id="186" w:name="_Toc296602456"/>
      <w:bookmarkStart w:id="187" w:name="_Toc246996211"/>
      <w:bookmarkStart w:id="188" w:name="_Toc179632585"/>
      <w:bookmarkStart w:id="189" w:name="_Toc152045567"/>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144974536"/>
      <w:bookmarkStart w:id="193" w:name="_Toc152045568"/>
      <w:bookmarkStart w:id="194" w:name="_Toc246996955"/>
      <w:bookmarkStart w:id="195" w:name="_Toc179632586"/>
      <w:bookmarkStart w:id="196" w:name="_Toc247085726"/>
      <w:bookmarkStart w:id="197" w:name="_Toc152042344"/>
      <w:bookmarkStart w:id="198" w:name="_Toc29660245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956"/>
      <w:bookmarkStart w:id="200" w:name="_Toc296602459"/>
      <w:bookmarkStart w:id="201" w:name="_Toc144974537"/>
      <w:bookmarkStart w:id="202" w:name="_Toc152045569"/>
      <w:bookmarkStart w:id="203" w:name="_Toc247085727"/>
      <w:bookmarkStart w:id="204" w:name="_Toc246996213"/>
      <w:bookmarkStart w:id="205" w:name="_Toc179632587"/>
      <w:bookmarkStart w:id="206" w:name="_Toc152042345"/>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2"/>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152045575"/>
      <w:bookmarkStart w:id="210" w:name="_Toc296590983"/>
      <w:bookmarkStart w:id="211" w:name="_Toc144974543"/>
      <w:bookmarkStart w:id="212" w:name="_Toc152042351"/>
      <w:bookmarkStart w:id="213" w:name="_Toc247085733"/>
      <w:bookmarkStart w:id="214" w:name="_Toc246996962"/>
      <w:bookmarkStart w:id="215" w:name="_Toc179632593"/>
      <w:bookmarkStart w:id="216" w:name="_Toc246996219"/>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2"/>
        <w:bidi w:val="0"/>
        <w:rPr>
          <w:rFonts w:hint="eastAsia" w:eastAsia="黑体"/>
          <w:lang w:eastAsia="zh-CN"/>
        </w:rPr>
      </w:pPr>
      <w:bookmarkStart w:id="217" w:name="_Toc247085734"/>
      <w:bookmarkStart w:id="218" w:name="_Toc296602463"/>
      <w:bookmarkStart w:id="219" w:name="_Toc152045576"/>
      <w:bookmarkStart w:id="220" w:name="_Toc179632594"/>
      <w:bookmarkStart w:id="221" w:name="_Toc246996963"/>
      <w:bookmarkStart w:id="222" w:name="_Toc152042352"/>
      <w:bookmarkStart w:id="223" w:name="_Toc144974544"/>
      <w:bookmarkStart w:id="224" w:name="_Toc246996220"/>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96602464"/>
      <w:bookmarkStart w:id="226" w:name="_Toc247085735"/>
      <w:bookmarkStart w:id="227" w:name="_Toc152045577"/>
      <w:bookmarkStart w:id="228" w:name="_Toc144974545"/>
      <w:bookmarkStart w:id="229" w:name="_Toc246996221"/>
      <w:bookmarkStart w:id="230" w:name="_Toc152042353"/>
      <w:bookmarkStart w:id="231" w:name="_Toc246996964"/>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27" w:edGrp="everyone"/>
      <w:r>
        <w:rPr>
          <w:rFonts w:hint="eastAsia" w:ascii="宋体" w:hAnsi="宋体"/>
          <w:color w:val="FF0000"/>
          <w:sz w:val="24"/>
          <w:lang w:val="en-US" w:eastAsia="zh-CN"/>
        </w:rPr>
        <w:t>最低评审价法</w:t>
      </w:r>
      <w:permEnd w:id="27"/>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975"/>
            <w:bookmarkStart w:id="234" w:name="_Toc152045589"/>
            <w:bookmarkStart w:id="235" w:name="_Toc246996232"/>
            <w:bookmarkStart w:id="236" w:name="_Toc179632607"/>
            <w:bookmarkStart w:id="237" w:name="_Toc247085747"/>
            <w:bookmarkStart w:id="238" w:name="_Toc296602477"/>
            <w:bookmarkStart w:id="239" w:name="_Toc144974556"/>
            <w:bookmarkStart w:id="240" w:name="_Toc152042366"/>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kern w:val="0"/>
                <w:sz w:val="24"/>
                <w:szCs w:val="24"/>
                <w:highlight w:val="none"/>
                <w:lang w:eastAsia="zh-CN"/>
              </w:rPr>
              <w:t>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pStyle w:val="7"/>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28" w:edGrp="everyone" w:colFirst="0" w:colLast="0"/>
            <w:permStart w:id="29" w:edGrp="everyone" w:colFirst="1" w:colLast="1"/>
            <w:permStart w:id="30"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28"/>
      <w:permEnd w:id="29"/>
      <w:permEnd w:id="30"/>
    </w:tbl>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1" w:name="_Toc296602481"/>
      <w:bookmarkStart w:id="242" w:name="_Toc247085751"/>
      <w:bookmarkStart w:id="243" w:name="_Toc246996979"/>
      <w:bookmarkStart w:id="244" w:name="_Toc144974560"/>
      <w:bookmarkStart w:id="245" w:name="_Toc179632611"/>
      <w:bookmarkStart w:id="246" w:name="_Toc152042370"/>
      <w:bookmarkStart w:id="247" w:name="_Toc246996236"/>
      <w:bookmarkStart w:id="248" w:name="_Toc152045593"/>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152045596"/>
      <w:bookmarkStart w:id="252" w:name="_Toc246996239"/>
      <w:bookmarkStart w:id="253" w:name="_Toc179632614"/>
      <w:bookmarkStart w:id="254" w:name="_Toc247085754"/>
      <w:bookmarkStart w:id="255" w:name="_Toc296602484"/>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kern w:val="0"/>
                <w:sz w:val="24"/>
                <w:szCs w:val="24"/>
                <w:highlight w:val="none"/>
                <w:shd w:val="clear" w:color="auto" w:fill="auto"/>
                <w:lang w:val="en-US" w:eastAsia="zh-CN"/>
              </w:rPr>
            </w:pPr>
            <w:r>
              <w:rPr>
                <w:rFonts w:hint="eastAsia" w:ascii="Times New Roman" w:hAnsi="Times New Roman" w:cs="Times New Roman" w:eastAsiaTheme="minorEastAsia"/>
                <w:kern w:val="0"/>
                <w:sz w:val="24"/>
                <w:szCs w:val="24"/>
                <w:highlight w:val="none"/>
                <w:shd w:val="clear" w:color="auto" w:fill="auto"/>
                <w:lang w:val="en-US" w:eastAsia="zh-CN"/>
              </w:rPr>
              <w:t>一项目一保，成交人测算保费送达采购人，采购人</w:t>
            </w:r>
            <w:r>
              <w:rPr>
                <w:rFonts w:hint="eastAsia" w:ascii="Times New Roman" w:hAnsi="Times New Roman" w:cs="Times New Roman"/>
                <w:kern w:val="0"/>
                <w:sz w:val="24"/>
                <w:szCs w:val="24"/>
                <w:highlight w:val="none"/>
                <w:shd w:val="clear" w:color="auto" w:fill="auto"/>
                <w:lang w:val="en-US" w:eastAsia="zh-CN"/>
              </w:rPr>
              <w:t>确认无误后，</w:t>
            </w:r>
            <w:r>
              <w:rPr>
                <w:rFonts w:hint="eastAsia" w:ascii="Times New Roman" w:hAnsi="Times New Roman" w:cs="Times New Roman" w:eastAsiaTheme="minorEastAsia"/>
                <w:kern w:val="0"/>
                <w:sz w:val="24"/>
                <w:szCs w:val="24"/>
                <w:highlight w:val="none"/>
                <w:shd w:val="clear" w:color="auto" w:fill="auto"/>
                <w:lang w:val="en-US" w:eastAsia="zh-CN"/>
              </w:rPr>
              <w:t>成交人出具相应项目的保单和增值税发票(一项目一票)并及时送至采购人处</w:t>
            </w:r>
            <w:r>
              <w:rPr>
                <w:rFonts w:hint="eastAsia" w:ascii="Times New Roman" w:hAnsi="Times New Roman" w:cs="Times New Roman"/>
                <w:kern w:val="0"/>
                <w:sz w:val="24"/>
                <w:szCs w:val="24"/>
                <w:highlight w:val="none"/>
                <w:shd w:val="clear" w:color="auto" w:fill="auto"/>
                <w:lang w:val="en-US" w:eastAsia="zh-CN"/>
              </w:rPr>
              <w:t>，采购人根据保单和增值税发票进行付款。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合同主要条款</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保险服务期限为二年，合同采取一年一签的方式。成交人在上一年度服务考核合格的前提下，可续签次年合同；若考核不合格，合同自动终止，不再续签。</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left"/>
        <w:textAlignment w:val="auto"/>
        <w:rPr>
          <w:rFonts w:hint="eastAsia" w:asciiTheme="minorEastAsia" w:hAnsiTheme="minorEastAsia" w:eastAsiaTheme="minorEastAsia" w:cstheme="minorEastAsia"/>
          <w:b w:val="0"/>
          <w:bCs w:val="0"/>
          <w:color w:val="auto"/>
          <w:sz w:val="28"/>
          <w:szCs w:val="28"/>
          <w:highlight w:val="none"/>
          <w:u w:val="none"/>
          <w:lang w:val="en-US" w:eastAsia="zh-CN"/>
        </w:rPr>
      </w:pPr>
      <w:permStart w:id="32" w:edGrp="everyone"/>
      <w:r>
        <w:rPr>
          <w:rFonts w:hint="eastAsia" w:asciiTheme="minorEastAsia" w:hAnsiTheme="minorEastAsia" w:eastAsiaTheme="minorEastAsia" w:cstheme="minorEastAsia"/>
          <w:b w:val="0"/>
          <w:bCs w:val="0"/>
          <w:color w:val="auto"/>
          <w:sz w:val="28"/>
          <w:szCs w:val="28"/>
          <w:highlight w:val="none"/>
          <w:u w:val="none"/>
          <w:lang w:val="en-US" w:eastAsia="zh-CN"/>
        </w:rPr>
        <w:t>1、本</w:t>
      </w:r>
      <w:r>
        <w:rPr>
          <w:rFonts w:hint="eastAsia" w:asciiTheme="minorEastAsia" w:hAnsiTheme="minorEastAsia" w:cstheme="minorEastAsia"/>
          <w:b w:val="0"/>
          <w:bCs w:val="0"/>
          <w:color w:val="auto"/>
          <w:sz w:val="28"/>
          <w:szCs w:val="28"/>
          <w:highlight w:val="none"/>
          <w:u w:val="none"/>
          <w:lang w:val="en-US" w:eastAsia="zh-CN"/>
        </w:rPr>
        <w:t>次</w:t>
      </w:r>
      <w:r>
        <w:rPr>
          <w:rFonts w:hint="eastAsia" w:asciiTheme="minorEastAsia" w:hAnsiTheme="minorEastAsia" w:eastAsiaTheme="minorEastAsia" w:cstheme="minorEastAsia"/>
          <w:b w:val="0"/>
          <w:bCs w:val="0"/>
          <w:color w:val="auto"/>
          <w:sz w:val="28"/>
          <w:szCs w:val="28"/>
          <w:highlight w:val="none"/>
          <w:u w:val="none"/>
          <w:lang w:val="en-US" w:eastAsia="zh-CN"/>
        </w:rPr>
        <w:t>投保</w:t>
      </w:r>
      <w:r>
        <w:rPr>
          <w:rFonts w:hint="eastAsia" w:asciiTheme="minorEastAsia" w:hAnsiTheme="minorEastAsia" w:cstheme="minorEastAsia"/>
          <w:b w:val="0"/>
          <w:bCs w:val="0"/>
          <w:color w:val="auto"/>
          <w:sz w:val="28"/>
          <w:szCs w:val="28"/>
          <w:highlight w:val="none"/>
          <w:u w:val="none"/>
          <w:lang w:val="en-US" w:eastAsia="zh-CN"/>
        </w:rPr>
        <w:t>项目</w:t>
      </w:r>
      <w:r>
        <w:rPr>
          <w:rFonts w:hint="eastAsia" w:asciiTheme="minorEastAsia" w:hAnsiTheme="minorEastAsia" w:eastAsiaTheme="minorEastAsia" w:cstheme="minorEastAsia"/>
          <w:b w:val="0"/>
          <w:bCs w:val="0"/>
          <w:color w:val="auto"/>
          <w:sz w:val="28"/>
          <w:szCs w:val="28"/>
          <w:highlight w:val="none"/>
          <w:u w:val="none"/>
          <w:lang w:val="en-US" w:eastAsia="zh-CN"/>
        </w:rPr>
        <w:t>信息详见附件；投保险种及保额见下表：</w:t>
      </w:r>
    </w:p>
    <w:permEnd w:id="32"/>
    <w:tbl>
      <w:tblPr>
        <w:tblStyle w:val="19"/>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tcBorders>
              <w:top w:val="nil"/>
              <w:left w:val="nil"/>
              <w:bottom w:val="nil"/>
              <w:right w:val="nil"/>
            </w:tcBorders>
            <w:shd w:val="clear" w:color="auto" w:fill="auto"/>
            <w:noWrap/>
            <w:vAlign w:val="center"/>
          </w:tcPr>
          <w:tbl>
            <w:tblPr>
              <w:tblStyle w:val="20"/>
              <w:tblW w:w="4999"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1271"/>
              <w:gridCol w:w="604"/>
              <w:gridCol w:w="5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采购人</w:t>
                  </w:r>
                </w:p>
              </w:tc>
              <w:tc>
                <w:tcPr>
                  <w:tcW w:w="76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8"/>
                      <w:szCs w:val="28"/>
                      <w:lang w:val="en-US" w:eastAsia="zh-CN"/>
                    </w:rPr>
                  </w:pPr>
                  <w:r>
                    <w:rPr>
                      <w:rFonts w:hint="eastAsia" w:ascii="仿宋_GB2312" w:hAnsi="仿宋_GB2312" w:cs="仿宋_GB2312"/>
                      <w:b w:val="0"/>
                      <w:bCs w:val="0"/>
                      <w:sz w:val="28"/>
                      <w:szCs w:val="28"/>
                      <w:lang w:val="en-US" w:eastAsia="zh-CN"/>
                    </w:rPr>
                    <w:t>项目数量</w:t>
                  </w:r>
                </w:p>
              </w:tc>
              <w:tc>
                <w:tcPr>
                  <w:tcW w:w="3695" w:type="pct"/>
                  <w:gridSpan w:val="2"/>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投保险种及保额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538" w:type="pct"/>
                  <w:vMerge w:val="restar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安徽通康建设工程有限公司</w:t>
                  </w:r>
                </w:p>
              </w:tc>
              <w:tc>
                <w:tcPr>
                  <w:tcW w:w="76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9个</w:t>
                  </w:r>
                </w:p>
              </w:tc>
              <w:tc>
                <w:tcPr>
                  <w:tcW w:w="364"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财产一切险</w:t>
                  </w:r>
                </w:p>
              </w:tc>
              <w:tc>
                <w:tcPr>
                  <w:tcW w:w="3330"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非电厂机械设备</w:t>
                  </w:r>
                  <w:r>
                    <w:rPr>
                      <w:rFonts w:hint="eastAsia" w:ascii="仿宋_GB2312" w:hAnsi="仿宋_GB2312" w:cs="仿宋_GB2312"/>
                      <w:b w:val="0"/>
                      <w:bCs w:val="0"/>
                      <w:sz w:val="24"/>
                      <w:szCs w:val="24"/>
                      <w:lang w:val="en-US" w:eastAsia="zh-CN"/>
                    </w:rPr>
                    <w:t xml:space="preserve"> </w:t>
                  </w:r>
                  <w:r>
                    <w:rPr>
                      <w:rFonts w:hint="eastAsia" w:ascii="仿宋_GB2312" w:hAnsi="仿宋_GB2312" w:eastAsia="仿宋_GB2312" w:cs="仿宋_GB2312"/>
                      <w:b w:val="0"/>
                      <w:bCs w:val="0"/>
                      <w:sz w:val="24"/>
                      <w:szCs w:val="24"/>
                      <w:lang w:val="en-US" w:eastAsia="zh-CN"/>
                    </w:rPr>
                    <w:t>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财产保险附加</w:t>
                  </w:r>
                  <w:r>
                    <w:rPr>
                      <w:rFonts w:hint="eastAsia" w:ascii="仿宋_GB2312" w:hAnsi="仿宋_GB2312" w:cs="仿宋_GB2312"/>
                      <w:b w:val="0"/>
                      <w:bCs w:val="0"/>
                      <w:sz w:val="24"/>
                      <w:szCs w:val="24"/>
                      <w:lang w:val="en-US" w:eastAsia="zh-CN"/>
                    </w:rPr>
                    <w:t xml:space="preserve"> </w:t>
                  </w:r>
                  <w:r>
                    <w:rPr>
                      <w:rFonts w:hint="eastAsia" w:ascii="仿宋_GB2312" w:hAnsi="仿宋_GB2312" w:eastAsia="仿宋_GB2312" w:cs="仿宋_GB2312"/>
                      <w:b w:val="0"/>
                      <w:bCs w:val="0"/>
                      <w:sz w:val="24"/>
                      <w:szCs w:val="24"/>
                      <w:lang w:val="en-US" w:eastAsia="zh-CN"/>
                    </w:rPr>
                    <w:t>重置价值</w:t>
                  </w:r>
                  <w:r>
                    <w:rPr>
                      <w:rFonts w:hint="eastAsia" w:ascii="仿宋_GB2312" w:hAnsi="仿宋_GB2312" w:cs="仿宋_GB2312"/>
                      <w:b w:val="0"/>
                      <w:bCs w:val="0"/>
                      <w:sz w:val="24"/>
                      <w:szCs w:val="24"/>
                      <w:lang w:val="en-US" w:eastAsia="zh-CN"/>
                    </w:rPr>
                    <w:t>保险条款</w:t>
                  </w:r>
                  <w:r>
                    <w:rPr>
                      <w:rFonts w:hint="eastAsia" w:ascii="仿宋_GB2312" w:hAnsi="仿宋_GB2312" w:eastAsia="仿宋_GB2312" w:cs="仿宋_GB2312"/>
                      <w:b w:val="0"/>
                      <w:bCs w:val="0"/>
                      <w:sz w:val="24"/>
                      <w:szCs w:val="24"/>
                      <w:lang w:val="en-US" w:eastAsia="zh-CN"/>
                    </w:rPr>
                    <w:t xml:space="preserve">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企业财产保险附加露天存放及简易建筑内财产保险B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企业财产保险附加清理费用保险B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企业财产保险附加灭火费用扩展保险B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财产保险附加指定公估人保险条款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企业财产保险附加自燃扩展保险B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财产保险附加盗窃、抢劫扩展条款 CNY</w:t>
                  </w:r>
                  <w:r>
                    <w:rPr>
                      <w:rFonts w:hint="eastAsia" w:ascii="仿宋_GB2312" w:hAnsi="仿宋_GB2312" w:cs="仿宋_GB2312"/>
                      <w:b w:val="0"/>
                      <w:bCs w:val="0"/>
                      <w:sz w:val="24"/>
                      <w:szCs w:val="24"/>
                      <w:lang w:val="en-US" w:eastAsia="zh-CN"/>
                    </w:rPr>
                    <w:t>(元)：同项目造价</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特别约定：</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1、</w:t>
                  </w:r>
                  <w:r>
                    <w:rPr>
                      <w:rFonts w:hint="eastAsia" w:ascii="仿宋_GB2312" w:hAnsi="仿宋_GB2312" w:eastAsia="仿宋_GB2312" w:cs="仿宋_GB2312"/>
                      <w:b w:val="0"/>
                      <w:bCs w:val="0"/>
                      <w:sz w:val="24"/>
                      <w:szCs w:val="24"/>
                      <w:lang w:val="en-US" w:eastAsia="zh-CN"/>
                    </w:rPr>
                    <w:t>每次事故绝对免赔额为人民币5000元或损失金额的10％，两者以高者为准。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2、光伏发电设备：包括太阳能电池板（组件）、组 件专用线缆以及其他必要设备；输变电系统：包括汇流箱、逆变器、交、直流配电柜、电缆、刀闸、电能质量监测仪以及其他必要的电子设备、元器件；附属设施：太阳能电池板支架、接地网、水管。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538" w:type="pct"/>
                  <w:vMerge w:val="continue"/>
                  <w:vAlign w:val="center"/>
                </w:tcPr>
                <w:p>
                  <w:pPr>
                    <w:keepNext w:val="0"/>
                    <w:keepLines w:val="0"/>
                    <w:pageBreakBefore w:val="0"/>
                    <w:widowControl w:val="0"/>
                    <w:kinsoku/>
                    <w:wordWrap/>
                    <w:overflowPunct/>
                    <w:topLinePunct w:val="0"/>
                    <w:autoSpaceDE/>
                    <w:autoSpaceDN/>
                    <w:bidi w:val="0"/>
                    <w:adjustRightInd/>
                    <w:snapToGrid/>
                    <w:spacing w:line="540" w:lineRule="exact"/>
                    <w:ind w:firstLine="480" w:firstLineChars="200"/>
                    <w:jc w:val="both"/>
                    <w:textAlignment w:val="auto"/>
                    <w:rPr>
                      <w:rFonts w:hint="eastAsia" w:ascii="仿宋_GB2312" w:hAnsi="仿宋_GB2312" w:eastAsia="仿宋_GB2312" w:cs="仿宋_GB2312"/>
                      <w:b w:val="0"/>
                      <w:bCs w:val="0"/>
                      <w:sz w:val="24"/>
                      <w:szCs w:val="24"/>
                      <w:lang w:val="en-US" w:eastAsia="zh-CN"/>
                    </w:rPr>
                  </w:pPr>
                </w:p>
              </w:tc>
              <w:tc>
                <w:tcPr>
                  <w:tcW w:w="76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9个</w:t>
                  </w:r>
                </w:p>
              </w:tc>
              <w:tc>
                <w:tcPr>
                  <w:tcW w:w="364"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公众责任险</w:t>
                  </w:r>
                </w:p>
              </w:tc>
              <w:tc>
                <w:tcPr>
                  <w:tcW w:w="3330"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每次事故赔偿限额（元） CNY1,000,000.00元</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每次事故每人人身伤亡赔偿限额（元） CNY500,000.00元</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累计赔偿限额（元） CNY3,000,000.00元</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每次事故免赔额（率） CNY1,000.00元</w:t>
                  </w:r>
                  <w:r>
                    <w:rPr>
                      <w:rFonts w:hint="eastAsia" w:ascii="仿宋_GB2312" w:hAnsi="仿宋_GB2312" w:eastAsia="仿宋_GB2312" w:cs="仿宋_GB2312"/>
                      <w:b w:val="0"/>
                      <w:bCs w:val="0"/>
                      <w:sz w:val="24"/>
                      <w:szCs w:val="24"/>
                      <w:lang w:val="en-US" w:eastAsia="zh-CN"/>
                    </w:rPr>
                    <w:br w:type="textWrapping"/>
                  </w:r>
                  <w:r>
                    <w:rPr>
                      <w:rFonts w:hint="eastAsia" w:ascii="仿宋_GB2312" w:hAnsi="仿宋_GB2312" w:eastAsia="仿宋_GB2312" w:cs="仿宋_GB2312"/>
                      <w:b w:val="0"/>
                      <w:bCs w:val="0"/>
                      <w:sz w:val="24"/>
                      <w:szCs w:val="24"/>
                      <w:lang w:val="en-US" w:eastAsia="zh-CN"/>
                    </w:rPr>
                    <w:t>附加火灾和爆炸责任保险条款 CNY3,000,000.00</w:t>
                  </w:r>
                </w:p>
                <w:p>
                  <w:pPr>
                    <w:pStyle w:val="2"/>
                    <w:jc w:val="both"/>
                    <w:rPr>
                      <w:rFonts w:hint="eastAsia"/>
                      <w:lang w:val="en-US" w:eastAsia="zh-CN"/>
                    </w:rPr>
                  </w:pPr>
                </w:p>
              </w:tc>
            </w:tr>
          </w:tbl>
          <w:p>
            <w:pPr>
              <w:keepNext w:val="0"/>
              <w:keepLines w:val="0"/>
              <w:pageBreakBefore w:val="0"/>
              <w:widowControl/>
              <w:numPr>
                <w:ilvl w:val="0"/>
                <w:numId w:val="1"/>
              </w:numPr>
              <w:kinsoku/>
              <w:wordWrap/>
              <w:overflowPunct/>
              <w:topLinePunct w:val="0"/>
              <w:autoSpaceDE/>
              <w:autoSpaceDN/>
              <w:bidi w:val="0"/>
              <w:adjustRightInd/>
              <w:snapToGrid/>
              <w:spacing w:line="240" w:lineRule="auto"/>
              <w:ind w:firstLine="560" w:firstLineChars="200"/>
              <w:jc w:val="both"/>
              <w:textAlignment w:val="center"/>
              <w:rPr>
                <w:rFonts w:hint="eastAsia" w:asciiTheme="minorEastAsia" w:hAnsiTheme="minorEastAsia" w:eastAsiaTheme="minorEastAsia" w:cstheme="minorEastAsia"/>
                <w:b w:val="0"/>
                <w:bCs w:val="0"/>
                <w:color w:val="auto"/>
                <w:sz w:val="28"/>
                <w:szCs w:val="28"/>
                <w:highlight w:val="none"/>
                <w:u w:val="none"/>
                <w:lang w:val="en-US" w:eastAsia="zh-CN"/>
              </w:rPr>
            </w:pPr>
            <w:r>
              <w:rPr>
                <w:rFonts w:hint="eastAsia" w:asciiTheme="minorEastAsia" w:hAnsiTheme="minorEastAsia" w:eastAsiaTheme="minorEastAsia" w:cstheme="minorEastAsia"/>
                <w:b w:val="0"/>
                <w:bCs w:val="0"/>
                <w:color w:val="auto"/>
                <w:sz w:val="28"/>
                <w:szCs w:val="28"/>
                <w:highlight w:val="none"/>
                <w:u w:val="none"/>
                <w:lang w:val="en-US" w:eastAsia="zh-CN"/>
              </w:rPr>
              <w:t>安徽通康分布式光伏发电项目信息明细表</w:t>
            </w:r>
          </w:p>
          <w:tbl>
            <w:tblPr>
              <w:tblStyle w:val="20"/>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2189"/>
              <w:gridCol w:w="1239"/>
              <w:gridCol w:w="1607"/>
              <w:gridCol w:w="1822"/>
              <w:gridCol w:w="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序号</w:t>
                  </w:r>
                </w:p>
              </w:tc>
              <w:tc>
                <w:tcPr>
                  <w:tcW w:w="1318"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项目名称</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交流测</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w:t>
                  </w:r>
                  <w:r>
                    <w:rPr>
                      <w:rFonts w:hint="eastAsia" w:ascii="仿宋_GB2312" w:hAnsi="仿宋_GB2312" w:eastAsia="仿宋_GB2312" w:cs="仿宋_GB2312"/>
                      <w:b w:val="0"/>
                      <w:bCs w:val="0"/>
                      <w:sz w:val="24"/>
                      <w:szCs w:val="24"/>
                      <w:lang w:val="en-US" w:eastAsia="zh-CN"/>
                    </w:rPr>
                    <w:t>kW</w:t>
                  </w:r>
                  <w:r>
                    <w:rPr>
                      <w:rFonts w:hint="eastAsia" w:ascii="仿宋_GB2312" w:hAnsi="仿宋_GB2312" w:cs="仿宋_GB2312"/>
                      <w:b w:val="0"/>
                      <w:bCs w:val="0"/>
                      <w:sz w:val="24"/>
                      <w:szCs w:val="24"/>
                      <w:lang w:val="en-US" w:eastAsia="zh-CN"/>
                    </w:rPr>
                    <w:t>）</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直流侧</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cs="仿宋_GB2312"/>
                      <w:b w:val="0"/>
                      <w:bCs w:val="0"/>
                      <w:sz w:val="24"/>
                      <w:szCs w:val="24"/>
                      <w:lang w:val="en-US" w:eastAsia="zh-CN"/>
                    </w:rPr>
                    <w:t>（</w:t>
                  </w:r>
                  <w:r>
                    <w:rPr>
                      <w:rFonts w:hint="eastAsia" w:ascii="仿宋_GB2312" w:hAnsi="仿宋_GB2312" w:eastAsia="仿宋_GB2312" w:cs="仿宋_GB2312"/>
                      <w:b w:val="0"/>
                      <w:bCs w:val="0"/>
                      <w:sz w:val="24"/>
                      <w:szCs w:val="24"/>
                      <w:lang w:val="en-US" w:eastAsia="zh-CN"/>
                    </w:rPr>
                    <w:t>kWp</w:t>
                  </w:r>
                  <w:r>
                    <w:rPr>
                      <w:rFonts w:hint="eastAsia" w:ascii="仿宋_GB2312" w:hAnsi="仿宋_GB2312" w:cs="仿宋_GB2312"/>
                      <w:b w:val="0"/>
                      <w:bCs w:val="0"/>
                      <w:sz w:val="24"/>
                      <w:szCs w:val="24"/>
                      <w:lang w:val="en-US" w:eastAsia="zh-CN"/>
                    </w:rPr>
                    <w:t>)</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工程预估造价（</w:t>
                  </w:r>
                  <w:r>
                    <w:rPr>
                      <w:rFonts w:hint="eastAsia" w:ascii="仿宋_GB2312" w:hAnsi="仿宋_GB2312" w:cs="仿宋_GB2312"/>
                      <w:b w:val="0"/>
                      <w:bCs w:val="0"/>
                      <w:sz w:val="24"/>
                      <w:szCs w:val="24"/>
                      <w:lang w:val="en-US" w:eastAsia="zh-CN"/>
                    </w:rPr>
                    <w:t>元</w:t>
                  </w:r>
                  <w:r>
                    <w:rPr>
                      <w:rFonts w:hint="eastAsia" w:ascii="仿宋_GB2312" w:hAnsi="仿宋_GB2312" w:eastAsia="仿宋_GB2312" w:cs="仿宋_GB2312"/>
                      <w:b w:val="0"/>
                      <w:bCs w:val="0"/>
                      <w:sz w:val="24"/>
                      <w:szCs w:val="24"/>
                      <w:lang w:val="en-US" w:eastAsia="zh-CN"/>
                    </w:rPr>
                    <w:t>）</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亳州新能源发展有限公司亳芜电子信息产业园A区1140kW分布式光伏发电项目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1140.000</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1293.750</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3609562.5</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亳州新能源发展有限公司亳州芜湖投资开发有限责任公司电子信息产业园C区4452kW分布式光伏发电项目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4452.000</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5243.750 </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11410968.75</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亳州新能源发展有限公司亳芜电子信息产业园B区5956kW分布式光伏发电项目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5956.000</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7215.000</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21284250</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亳州新能源发展有限公司亳芜医疗器械产业园2320kW分布式光伏发电项目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2320.000</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2666.250</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7438837.5</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5</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亳州新能源发展有限公司亳芜园区农机大市场2000kW分布式光伏发电项目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2000.000 </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2283.750 </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6371662.5</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6</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亳州新能源发展有限公司华东光能园区5950kW分布式光伏发电项目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5950.000 </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7085.000 </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20900750</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7</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亳州新能源发展有限公司安徽加南实业有限公司5750KW屋顶分布式光伏发电项目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5750.000 </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6975.000 </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20576250</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8</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亳州新能源发展有限公司亳州市教育局职教园南区1050kW分布式光伏发电项目项目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1050.000 </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1298.750 </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3300000</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9</w:t>
                  </w:r>
                </w:p>
              </w:tc>
              <w:tc>
                <w:tcPr>
                  <w:tcW w:w="131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亳州新能源发展有限公司亳州市教育局职教园北区车棚1150kW分布式光伏发电项目</w:t>
                  </w:r>
                </w:p>
              </w:tc>
              <w:tc>
                <w:tcPr>
                  <w:tcW w:w="746"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1150.000 </w:t>
                  </w:r>
                </w:p>
              </w:tc>
              <w:tc>
                <w:tcPr>
                  <w:tcW w:w="968"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 xml:space="preserve">1174.915 </w:t>
                  </w:r>
                </w:p>
              </w:tc>
              <w:tc>
                <w:tcPr>
                  <w:tcW w:w="1097" w:type="pct"/>
                  <w:vAlign w:val="center"/>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3400000</w:t>
                  </w:r>
                </w:p>
              </w:tc>
              <w:tc>
                <w:tcPr>
                  <w:tcW w:w="464" w:type="pct"/>
                </w:tcPr>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仿宋_GB2312" w:hAnsi="仿宋_GB2312" w:eastAsia="仿宋_GB2312" w:cs="仿宋_GB2312"/>
                      <w:b w:val="0"/>
                      <w:bCs w:val="0"/>
                      <w:sz w:val="24"/>
                      <w:szCs w:val="24"/>
                      <w:lang w:val="en-US" w:eastAsia="zh-CN"/>
                    </w:rPr>
                  </w:pPr>
                </w:p>
              </w:tc>
            </w:tr>
          </w:tbl>
          <w:p>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both"/>
              <w:textAlignment w:val="center"/>
              <w:rPr>
                <w:rFonts w:hint="eastAsia" w:asciiTheme="minorEastAsia" w:hAnsiTheme="minorEastAsia" w:cstheme="minorEastAsia"/>
                <w:b w:val="0"/>
                <w:bCs w:val="0"/>
                <w:color w:val="auto"/>
                <w:sz w:val="28"/>
                <w:szCs w:val="28"/>
                <w:highlight w:val="none"/>
                <w:u w:val="none"/>
                <w:lang w:val="en-US" w:eastAsia="zh-CN"/>
              </w:rPr>
            </w:pPr>
            <w:r>
              <w:rPr>
                <w:rFonts w:hint="eastAsia" w:asciiTheme="minorEastAsia" w:hAnsiTheme="minorEastAsia" w:cstheme="minorEastAsia"/>
                <w:b w:val="0"/>
                <w:bCs w:val="0"/>
                <w:color w:val="auto"/>
                <w:sz w:val="28"/>
                <w:szCs w:val="28"/>
                <w:highlight w:val="none"/>
                <w:u w:val="none"/>
                <w:lang w:val="en-US" w:eastAsia="zh-CN"/>
              </w:rPr>
              <w:t>3、采购清单</w:t>
            </w:r>
          </w:p>
          <w:tbl>
            <w:tblPr>
              <w:tblStyle w:val="19"/>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
              <w:gridCol w:w="417"/>
              <w:gridCol w:w="2056"/>
              <w:gridCol w:w="1316"/>
              <w:gridCol w:w="825"/>
              <w:gridCol w:w="908"/>
              <w:gridCol w:w="859"/>
              <w:gridCol w:w="509"/>
              <w:gridCol w:w="978"/>
              <w:gridCol w:w="38"/>
              <w:gridCol w:w="3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720" w:hRule="atLeast"/>
              </w:trPr>
              <w:tc>
                <w:tcPr>
                  <w:tcW w:w="4990"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安徽通康分布式光伏发电项目设备保险采购清单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540"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7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项目造价（暂估）</w:t>
                  </w:r>
                </w:p>
              </w:tc>
              <w:tc>
                <w:tcPr>
                  <w:tcW w:w="10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A:财产一切险</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B:公众责任险</w:t>
                  </w:r>
                </w:p>
              </w:tc>
              <w:tc>
                <w:tcPr>
                  <w:tcW w:w="3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jc w:val="center"/>
                    <w:textAlignment w:val="center"/>
                    <w:rPr>
                      <w:rFonts w:hint="default"/>
                      <w:lang w:val="en-US"/>
                    </w:rPr>
                  </w:pPr>
                  <w:r>
                    <w:rPr>
                      <w:rFonts w:hint="eastAsia"/>
                      <w:lang w:val="en-US" w:eastAsia="zh-CN"/>
                    </w:rPr>
                    <w:t>合计（A+B）</w:t>
                  </w:r>
                </w:p>
              </w:tc>
              <w:tc>
                <w:tcPr>
                  <w:tcW w:w="26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480"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7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费率（%）</w:t>
                  </w: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金额（含税）</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金额（含税）</w:t>
                  </w:r>
                </w:p>
              </w:tc>
              <w:tc>
                <w:tcPr>
                  <w:tcW w:w="3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5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6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0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亳州新能源发展有限公司亳芜电子信息产业园A区1140kW分布式光伏发电项目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3609562.5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E54C5E"/>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44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亳州新能源发展有限公司亳州芜湖投资开发有限责任公司电子信息产业园C区4452kW分布式光伏发电项目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11410968.75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亳州新能源发展有限公司亳芜电子信息产业园B区5956kW分布式光伏发电项目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21284250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8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亳州新能源发展有限公司亳芜医疗器械产业园2320kW分布式光伏发电项目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7438837.5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亳州新能源发展有限公司亳芜园区农机大市场2000kW分布式光伏发电项目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6371662.5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6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亳州新能源发展有限公司华东光能园区5950kW分布式光伏发电项目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20900750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6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亳州新能源发展有限公司安徽加南实业有限公司5750KW屋顶分布式光伏发电项目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20576250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 w:type="pct"/>
                <w:trHeight w:val="16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亳州新能源发展有限公司亳州市教育局职教园南区1050kW分布式光伏发电项目项目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3300000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 w:type="pct"/>
                <w:trHeight w:val="20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244" w:type="pc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亳州新能源发展有限公司亳州市教育局职教园北区车棚1150kW分布式光伏发电项目</w:t>
                  </w:r>
                </w:p>
              </w:tc>
              <w:tc>
                <w:tcPr>
                  <w:tcW w:w="7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3400000</w:t>
                  </w:r>
                </w:p>
              </w:tc>
              <w:tc>
                <w:tcPr>
                  <w:tcW w:w="503"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Arial" w:hAnsi="Arial" w:eastAsia="宋体" w:cs="Arial"/>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720" w:hRule="atLeast"/>
              </w:trPr>
              <w:tc>
                <w:tcPr>
                  <w:tcW w:w="386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default" w:ascii="Arial" w:hAnsi="Arial" w:eastAsia="宋体" w:cs="Arial"/>
                      <w:b/>
                      <w:bCs/>
                      <w:i w:val="0"/>
                      <w:iCs w:val="0"/>
                      <w:color w:val="000000"/>
                      <w:sz w:val="20"/>
                      <w:szCs w:val="20"/>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default" w:ascii="Arial" w:hAnsi="Arial" w:eastAsia="宋体" w:cs="Arial"/>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9" w:type="pct"/>
                <w:trHeight w:val="740" w:hRule="atLeast"/>
              </w:trPr>
              <w:tc>
                <w:tcPr>
                  <w:tcW w:w="3865" w:type="pct"/>
                  <w:gridSpan w:val="6"/>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报价单位（盖章）</w:t>
                  </w:r>
                </w:p>
              </w:tc>
              <w:tc>
                <w:tcPr>
                  <w:tcW w:w="1124" w:type="pct"/>
                  <w:gridSpan w:val="4"/>
                  <w:tcBorders>
                    <w:top w:val="nil"/>
                    <w:left w:val="nil"/>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8" w:type="pct"/>
                <w:trHeight w:val="1380" w:hRule="atLeast"/>
              </w:trPr>
              <w:tc>
                <w:tcPr>
                  <w:tcW w:w="4751" w:type="pct"/>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FF0000"/>
                      <w:kern w:val="0"/>
                      <w:sz w:val="20"/>
                      <w:szCs w:val="20"/>
                      <w:u w:val="none"/>
                      <w:lang w:val="en-US" w:eastAsia="zh-CN" w:bidi="ar"/>
                    </w:rPr>
                    <w:t>备注：</w:t>
                  </w:r>
                  <w:r>
                    <w:rPr>
                      <w:rFonts w:hint="eastAsia" w:ascii="宋体" w:hAnsi="宋体" w:eastAsia="宋体" w:cs="宋体"/>
                      <w:b/>
                      <w:bCs/>
                      <w:i w:val="0"/>
                      <w:iCs w:val="0"/>
                      <w:color w:val="FF0000"/>
                      <w:kern w:val="0"/>
                      <w:sz w:val="20"/>
                      <w:szCs w:val="20"/>
                      <w:u w:val="none"/>
                      <w:lang w:val="en-US" w:eastAsia="zh-CN" w:bidi="ar"/>
                    </w:rPr>
                    <w:br w:type="textWrapping"/>
                  </w:r>
                  <w:r>
                    <w:rPr>
                      <w:rFonts w:hint="eastAsia" w:ascii="宋体" w:hAnsi="宋体" w:eastAsia="宋体" w:cs="宋体"/>
                      <w:b/>
                      <w:bCs/>
                      <w:i w:val="0"/>
                      <w:iCs w:val="0"/>
                      <w:color w:val="FF0000"/>
                      <w:kern w:val="0"/>
                      <w:sz w:val="20"/>
                      <w:szCs w:val="20"/>
                      <w:u w:val="none"/>
                      <w:lang w:val="en-US" w:eastAsia="zh-CN" w:bidi="ar"/>
                    </w:rPr>
                    <w:t>1、发票类型为增值税专用发票，</w:t>
                  </w:r>
                  <w:r>
                    <w:rPr>
                      <w:rFonts w:hint="eastAsia" w:ascii="宋体" w:hAnsi="宋体" w:eastAsia="宋体" w:cs="宋体"/>
                      <w:b/>
                      <w:bCs/>
                      <w:i w:val="0"/>
                      <w:iCs w:val="0"/>
                      <w:color w:val="FF0000"/>
                      <w:kern w:val="0"/>
                      <w:sz w:val="20"/>
                      <w:szCs w:val="20"/>
                      <w:u w:val="none"/>
                      <w:lang w:val="en-US" w:eastAsia="zh-CN" w:bidi="ar"/>
                    </w:rPr>
                    <w:br w:type="textWrapping"/>
                  </w:r>
                  <w:r>
                    <w:rPr>
                      <w:rFonts w:hint="eastAsia" w:ascii="宋体" w:hAnsi="宋体" w:eastAsia="宋体" w:cs="宋体"/>
                      <w:b/>
                      <w:bCs/>
                      <w:i w:val="0"/>
                      <w:iCs w:val="0"/>
                      <w:color w:val="FF0000"/>
                      <w:kern w:val="0"/>
                      <w:sz w:val="20"/>
                      <w:szCs w:val="20"/>
                      <w:u w:val="none"/>
                      <w:lang w:val="en-US" w:eastAsia="zh-CN" w:bidi="ar"/>
                    </w:rPr>
                    <w:t>2、财产一切险费率不得高于0.2%，公众责任险金额不得高于5000元。</w:t>
                  </w:r>
                  <w:r>
                    <w:rPr>
                      <w:rFonts w:hint="eastAsia" w:ascii="宋体" w:hAnsi="宋体" w:eastAsia="宋体" w:cs="宋体"/>
                      <w:b/>
                      <w:bCs/>
                      <w:i w:val="0"/>
                      <w:iCs w:val="0"/>
                      <w:color w:val="FF0000"/>
                      <w:kern w:val="0"/>
                      <w:sz w:val="20"/>
                      <w:szCs w:val="20"/>
                      <w:u w:val="none"/>
                      <w:lang w:val="en-US" w:eastAsia="zh-CN" w:bidi="ar"/>
                    </w:rPr>
                    <w:br w:type="textWrapping"/>
                  </w:r>
                  <w:r>
                    <w:rPr>
                      <w:rFonts w:hint="eastAsia" w:ascii="宋体" w:hAnsi="宋体" w:eastAsia="宋体" w:cs="宋体"/>
                      <w:b/>
                      <w:bCs/>
                      <w:i w:val="0"/>
                      <w:iCs w:val="0"/>
                      <w:color w:val="FF0000"/>
                      <w:kern w:val="0"/>
                      <w:sz w:val="20"/>
                      <w:szCs w:val="20"/>
                      <w:u w:val="none"/>
                      <w:lang w:val="en-US" w:eastAsia="zh-CN" w:bidi="ar"/>
                    </w:rPr>
                    <w:t>3、项目造价以采购人提供的造价为准，据实结算；</w:t>
                  </w:r>
                </w:p>
              </w:tc>
            </w:tr>
          </w:tbl>
          <w:p>
            <w:pPr>
              <w:keepNext w:val="0"/>
              <w:keepLines w:val="0"/>
              <w:widowControl/>
              <w:suppressLineNumbers w:val="0"/>
              <w:jc w:val="both"/>
              <w:textAlignment w:val="center"/>
              <w:rPr>
                <w:rFonts w:ascii="方正小标宋简体" w:hAnsi="方正小标宋简体" w:eastAsia="方正小标宋简体" w:cs="方正小标宋简体"/>
                <w:i w:val="0"/>
                <w:iCs w:val="0"/>
                <w:color w:val="000000"/>
                <w:sz w:val="32"/>
                <w:szCs w:val="32"/>
                <w:u w:val="none"/>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eastAsia="zh-CN"/>
        </w:rPr>
      </w:pPr>
      <w:permStart w:id="33" w:edGrp="everyone"/>
      <w:r>
        <w:rPr>
          <w:rFonts w:hint="eastAsia" w:ascii="Times New Roman" w:hAnsi="Times New Roman" w:eastAsia="黑体" w:cs="Times New Roman"/>
          <w:kern w:val="0"/>
          <w:sz w:val="32"/>
          <w:szCs w:val="32"/>
          <w:highlight w:val="none"/>
          <w:u w:val="single"/>
          <w:shd w:val="clear" w:color="auto" w:fill="auto"/>
          <w:lang w:eastAsia="zh-CN"/>
        </w:rPr>
        <w:t>安徽通康建设工程有限公司分布式光伏发电项目</w:t>
      </w:r>
    </w:p>
    <w:p>
      <w:pPr>
        <w:keepNext w:val="0"/>
        <w:keepLines w:val="0"/>
        <w:pageBreakBefore w:val="0"/>
        <w:widowControl/>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eastAsia="zh-CN"/>
        </w:rPr>
        <w:t>设备保险采购</w:t>
      </w:r>
      <w:permEnd w:id="33"/>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2"/>
        <w:jc w:val="center"/>
        <w:rPr>
          <w:rFonts w:hint="default" w:ascii="Times New Roman" w:hAnsi="Times New Roman" w:cs="Times New Roman"/>
        </w:rPr>
      </w:pPr>
      <w:bookmarkStart w:id="257" w:name="_Toc300835209"/>
      <w:bookmarkStart w:id="258" w:name="_Toc152042576"/>
      <w:bookmarkStart w:id="259" w:name="_Toc247527827"/>
      <w:bookmarkStart w:id="260" w:name="_Toc144974856"/>
      <w:bookmarkStart w:id="261" w:name="_Toc247514246"/>
      <w:bookmarkStart w:id="262" w:name="_Toc152045787"/>
    </w:p>
    <w:p>
      <w:pPr>
        <w:pStyle w:val="2"/>
        <w:jc w:val="center"/>
        <w:rPr>
          <w:rFonts w:hint="default" w:ascii="Times New Roman" w:hAnsi="Times New Roman" w:cs="Times New Roman"/>
        </w:rPr>
      </w:pPr>
      <w:r>
        <w:rPr>
          <w:rFonts w:hint="default" w:ascii="Times New Roman" w:hAnsi="Times New Roman" w:cs="Times New Roman"/>
        </w:rPr>
        <w:t>目    录</w:t>
      </w:r>
      <w:bookmarkEnd w:id="257"/>
      <w:bookmarkEnd w:id="258"/>
      <w:bookmarkEnd w:id="259"/>
      <w:bookmarkEnd w:id="260"/>
      <w:bookmarkEnd w:id="261"/>
      <w:bookmarkEnd w:id="262"/>
    </w:p>
    <w:p>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2"/>
        <w:jc w:val="center"/>
        <w:rPr>
          <w:rFonts w:hint="default" w:ascii="Times New Roman" w:hAnsi="Times New Roman" w:eastAsia="黑体" w:cs="Times New Roman"/>
          <w:sz w:val="20"/>
          <w:szCs w:val="20"/>
        </w:rPr>
      </w:pPr>
      <w:bookmarkStart w:id="263" w:name="_Toc152042577"/>
      <w:bookmarkStart w:id="264" w:name="_Toc300835210"/>
      <w:bookmarkStart w:id="265" w:name="_Toc247514247"/>
      <w:bookmarkStart w:id="266" w:name="_Toc152045788"/>
      <w:bookmarkStart w:id="267" w:name="_Toc247527828"/>
      <w:bookmarkStart w:id="268"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pPr>
        <w:spacing w:line="440" w:lineRule="exact"/>
        <w:rPr>
          <w:rFonts w:hint="default" w:ascii="Times New Roman" w:hAnsi="Times New Roman" w:cs="Times New Roman"/>
          <w:szCs w:val="21"/>
        </w:rPr>
      </w:pPr>
      <w:bookmarkStart w:id="269" w:name="_Toc152042579"/>
      <w:bookmarkStart w:id="270" w:name="_Toc247527830"/>
      <w:bookmarkStart w:id="271" w:name="_Toc300835212"/>
      <w:bookmarkStart w:id="272" w:name="_Toc144974859"/>
      <w:bookmarkStart w:id="273" w:name="_Toc247514249"/>
      <w:bookmarkStart w:id="274" w:name="_Toc152045790"/>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52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安徽通康建设工程有限公司分布式光伏发电项目设备保险采购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AHTKJS-2025-53</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r>
        <w:rPr>
          <w:rFonts w:hint="eastAsia" w:ascii="Times New Roman" w:hAnsi="Times New Roman" w:cs="Times New Roman"/>
          <w:szCs w:val="21"/>
          <w:u w:val="none"/>
          <w:lang w:val="en-US" w:eastAsia="zh-CN"/>
        </w:rPr>
        <w:t>的响应报价，服务期限：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w:t>
      </w:r>
      <w:permEnd w:id="34"/>
      <w:r>
        <w:rPr>
          <w:rFonts w:hint="eastAsia" w:ascii="Times New Roman" w:hAnsi="Times New Roman" w:cs="Times New Roman"/>
          <w:szCs w:val="21"/>
          <w:u w:val="none"/>
          <w:lang w:val="en-US" w:eastAsia="zh-CN"/>
        </w:rPr>
        <w:t>，按合同约定完成本项目全部服务工作。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pPr>
        <w:pStyle w:val="2"/>
        <w:jc w:val="center"/>
        <w:rPr>
          <w:rFonts w:hint="default" w:ascii="Times New Roman" w:hAnsi="Times New Roman" w:cs="Times New Roman"/>
        </w:rPr>
      </w:pPr>
      <w:bookmarkStart w:id="275" w:name="_Toc300835213"/>
      <w:bookmarkStart w:id="276" w:name="_Toc144974860"/>
      <w:bookmarkStart w:id="277" w:name="_Toc247527831"/>
      <w:bookmarkStart w:id="278" w:name="_Toc247514283"/>
      <w:bookmarkStart w:id="279" w:name="_Toc152045791"/>
      <w:bookmarkStart w:id="280" w:name="_Toc152042580"/>
    </w:p>
    <w:p>
      <w:pPr>
        <w:pStyle w:val="2"/>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2"/>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300835214"/>
      <w:bookmarkStart w:id="282" w:name="_Toc152042581"/>
      <w:bookmarkStart w:id="283" w:name="_Toc152045792"/>
      <w:bookmarkStart w:id="284" w:name="_Toc144974861"/>
      <w:bookmarkStart w:id="285" w:name="_Toc247514284"/>
      <w:bookmarkStart w:id="286"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pPr>
        <w:pageBreakBefore w:val="0"/>
        <w:widowControl w:val="0"/>
        <w:kinsoku/>
        <w:wordWrap/>
        <w:overflowPunct/>
        <w:topLinePunct/>
        <w:autoSpaceDE/>
        <w:autoSpaceDN/>
        <w:bidi w:val="0"/>
        <w:adjustRightInd/>
        <w:snapToGrid/>
        <w:spacing w:line="500" w:lineRule="exact"/>
        <w:ind w:firstLine="422" w:firstLineChars="200"/>
        <w:jc w:val="center"/>
        <w:textAlignment w:val="auto"/>
        <w:rPr>
          <w:rFonts w:hint="default" w:ascii="Times New Roman" w:hAnsi="Times New Roman" w:cs="Times New Roman"/>
          <w:b/>
          <w:bCs/>
          <w:color w:val="FF0000"/>
          <w:szCs w:val="21"/>
        </w:rPr>
      </w:pPr>
      <w:r>
        <w:rPr>
          <w:rFonts w:hint="default" w:ascii="Times New Roman" w:hAnsi="Times New Roman" w:cs="Times New Roman"/>
          <w:b/>
          <w:bCs/>
          <w:color w:val="FF0000"/>
          <w:szCs w:val="21"/>
        </w:rPr>
        <w:t>（适用于有委托代理人的情况）</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2"/>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2" w:firstLineChars="200"/>
        <w:jc w:val="center"/>
        <w:rPr>
          <w:rFonts w:hint="eastAsia" w:ascii="Times New Roman" w:hAnsi="Times New Roman" w:cs="Times New Roman"/>
          <w:b/>
          <w:bCs/>
          <w:color w:val="FF0000"/>
          <w:szCs w:val="21"/>
          <w:lang w:val="en-US" w:eastAsia="zh-CN"/>
        </w:rPr>
      </w:pPr>
      <w:bookmarkStart w:id="287" w:name="OLE_LINK1"/>
      <w:bookmarkStart w:id="288" w:name="_Toc144974862"/>
      <w:bookmarkStart w:id="289" w:name="_Toc152042583"/>
      <w:bookmarkStart w:id="290" w:name="_Toc152045794"/>
      <w:bookmarkStart w:id="291" w:name="_Toc300835216"/>
      <w:bookmarkStart w:id="292" w:name="_Toc247514286"/>
      <w:bookmarkStart w:id="293" w:name="_Toc247527834"/>
      <w:r>
        <w:rPr>
          <w:rFonts w:hint="eastAsia" w:ascii="Times New Roman" w:hAnsi="Times New Roman" w:cs="Times New Roman"/>
          <w:b/>
          <w:bCs/>
          <w:color w:val="FF0000"/>
          <w:szCs w:val="21"/>
          <w:lang w:val="en-US" w:eastAsia="zh-CN"/>
        </w:rPr>
        <w:t>（适用于供应商组成联合体的情况）</w:t>
      </w:r>
    </w:p>
    <w:bookmarkEnd w:id="287"/>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2"/>
        <w:pageBreakBefore w:val="0"/>
        <w:widowControl w:val="0"/>
        <w:numPr>
          <w:ilvl w:val="0"/>
          <w:numId w:val="2"/>
        </w:numPr>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响应</w:t>
      </w:r>
      <w:r>
        <w:rPr>
          <w:rFonts w:hint="default" w:ascii="Times New Roman" w:hAnsi="Times New Roman" w:cs="Times New Roman"/>
        </w:rPr>
        <w:t>保证金</w:t>
      </w:r>
      <w:bookmarkEnd w:id="288"/>
      <w:bookmarkEnd w:id="289"/>
      <w:bookmarkEnd w:id="290"/>
      <w:bookmarkEnd w:id="291"/>
      <w:bookmarkEnd w:id="292"/>
      <w:bookmarkEnd w:id="293"/>
    </w:p>
    <w:p>
      <w:pPr>
        <w:topLinePunct/>
        <w:spacing w:line="440" w:lineRule="exact"/>
        <w:ind w:firstLine="422" w:firstLineChars="200"/>
        <w:jc w:val="center"/>
        <w:rPr>
          <w:rFonts w:hint="eastAsia" w:ascii="Times New Roman" w:hAnsi="Times New Roman" w:cs="Times New Roman"/>
          <w:b/>
          <w:bCs/>
          <w:color w:val="FF0000"/>
          <w:szCs w:val="21"/>
          <w:lang w:val="en-US" w:eastAsia="zh-CN"/>
        </w:rPr>
      </w:pPr>
      <w:r>
        <w:rPr>
          <w:rFonts w:hint="eastAsia" w:ascii="Times New Roman" w:hAnsi="Times New Roman" w:cs="Times New Roman"/>
          <w:b/>
          <w:bCs/>
          <w:color w:val="FF0000"/>
          <w:szCs w:val="21"/>
          <w:lang w:val="en-US" w:eastAsia="zh-CN"/>
        </w:rPr>
        <w:t>（本项目不需要）</w:t>
      </w:r>
    </w:p>
    <w:p>
      <w:pPr>
        <w:numPr>
          <w:ilvl w:val="-1"/>
          <w:numId w:val="0"/>
        </w:numPr>
        <w:rPr>
          <w:rFonts w:hint="eastAsia"/>
          <w:lang w:eastAsia="zh-CN"/>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94"/>
    <w:p>
      <w:pPr>
        <w:rPr>
          <w:rFonts w:hint="default" w:ascii="Times New Roman" w:hAnsi="Times New Roman" w:cs="Times New Roman"/>
        </w:rPr>
      </w:pPr>
      <w:bookmarkStart w:id="295" w:name="_Toc300835218"/>
      <w:bookmarkStart w:id="296" w:name="_Toc247514287"/>
      <w:bookmarkStart w:id="297" w:name="_Toc152045795"/>
      <w:bookmarkStart w:id="298" w:name="_Toc152042584"/>
      <w:bookmarkStart w:id="299" w:name="_Toc144974863"/>
      <w:bookmarkStart w:id="300" w:name="_Toc247527835"/>
      <w:r>
        <w:rPr>
          <w:rFonts w:hint="default" w:ascii="Times New Roman" w:hAnsi="Times New Roman" w:cs="Times New Roman"/>
        </w:rPr>
        <w:br w:type="page"/>
      </w:r>
    </w:p>
    <w:p>
      <w:pPr>
        <w:numPr>
          <w:ilvl w:val="0"/>
          <w:numId w:val="3"/>
        </w:numPr>
        <w:spacing w:before="114" w:line="221" w:lineRule="auto"/>
        <w:ind w:left="2764"/>
        <w:rPr>
          <w:rFonts w:ascii="黑体" w:hAnsi="黑体" w:eastAsia="黑体" w:cs="黑体"/>
          <w:b/>
          <w:bCs/>
          <w:spacing w:val="-2"/>
          <w:sz w:val="35"/>
          <w:szCs w:val="35"/>
        </w:rPr>
      </w:pPr>
      <w:r>
        <w:rPr>
          <w:rFonts w:ascii="黑体" w:hAnsi="黑体" w:eastAsia="黑体" w:cs="黑体"/>
          <w:b/>
          <w:bCs/>
          <w:spacing w:val="-2"/>
          <w:sz w:val="35"/>
          <w:szCs w:val="35"/>
        </w:rPr>
        <w:t>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p>
      <w:pPr>
        <w:spacing w:before="53"/>
      </w:pPr>
    </w:p>
    <w:tbl>
      <w:tblPr>
        <w:tblStyle w:val="33"/>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2"/>
              <w:spacing w:before="174" w:line="221" w:lineRule="auto"/>
              <w:ind w:left="344"/>
              <w:rPr>
                <w:sz w:val="21"/>
                <w:szCs w:val="21"/>
              </w:rPr>
            </w:pPr>
            <w:r>
              <w:rPr>
                <w:spacing w:val="6"/>
                <w:sz w:val="21"/>
                <w:szCs w:val="21"/>
              </w:rPr>
              <w:t>序号</w:t>
            </w:r>
          </w:p>
        </w:tc>
        <w:tc>
          <w:tcPr>
            <w:tcW w:w="3106" w:type="dxa"/>
            <w:vAlign w:val="top"/>
          </w:tcPr>
          <w:p>
            <w:pPr>
              <w:pStyle w:val="32"/>
              <w:spacing w:before="172" w:line="219" w:lineRule="auto"/>
              <w:ind w:left="511"/>
              <w:rPr>
                <w:sz w:val="21"/>
                <w:szCs w:val="21"/>
              </w:rPr>
            </w:pPr>
            <w:r>
              <w:rPr>
                <w:spacing w:val="1"/>
                <w:sz w:val="21"/>
                <w:szCs w:val="21"/>
              </w:rPr>
              <w:t>采购文件章节及条款号</w:t>
            </w:r>
          </w:p>
        </w:tc>
        <w:tc>
          <w:tcPr>
            <w:tcW w:w="3117" w:type="dxa"/>
            <w:vAlign w:val="top"/>
          </w:tcPr>
          <w:p>
            <w:pPr>
              <w:pStyle w:val="32"/>
              <w:spacing w:before="172" w:line="219" w:lineRule="auto"/>
              <w:ind w:left="524"/>
              <w:rPr>
                <w:sz w:val="21"/>
                <w:szCs w:val="21"/>
              </w:rPr>
            </w:pPr>
            <w:r>
              <w:rPr>
                <w:spacing w:val="1"/>
                <w:sz w:val="21"/>
                <w:szCs w:val="21"/>
              </w:rPr>
              <w:t>响应文件章节及条款号</w:t>
            </w:r>
          </w:p>
        </w:tc>
        <w:tc>
          <w:tcPr>
            <w:tcW w:w="1713" w:type="dxa"/>
            <w:vAlign w:val="top"/>
          </w:tcPr>
          <w:p>
            <w:pPr>
              <w:pStyle w:val="32"/>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2"/>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2"/>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2"/>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2"/>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7"/>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2"/>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2"/>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5"/>
      <w:bookmarkEnd w:id="296"/>
      <w:bookmarkEnd w:id="297"/>
      <w:bookmarkEnd w:id="298"/>
      <w:bookmarkEnd w:id="299"/>
      <w:bookmarkEnd w:id="300"/>
      <w:r>
        <w:rPr>
          <w:rFonts w:hint="eastAsia" w:ascii="Times New Roman" w:hAnsi="Times New Roman" w:cs="Times New Roman"/>
          <w:lang w:val="en-US" w:eastAsia="zh-CN"/>
        </w:rPr>
        <w:t>报价表</w:t>
      </w:r>
    </w:p>
    <w:tbl>
      <w:tblPr>
        <w:tblStyle w:val="19"/>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
        <w:gridCol w:w="426"/>
        <w:gridCol w:w="2120"/>
        <w:gridCol w:w="1350"/>
        <w:gridCol w:w="857"/>
        <w:gridCol w:w="942"/>
        <w:gridCol w:w="891"/>
        <w:gridCol w:w="532"/>
        <w:gridCol w:w="927"/>
        <w:gridCol w:w="41"/>
        <w:gridCol w:w="4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720" w:hRule="atLeast"/>
        </w:trPr>
        <w:tc>
          <w:tcPr>
            <w:tcW w:w="4990"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bookmarkStart w:id="301" w:name="_Toc247527836"/>
            <w:bookmarkStart w:id="302" w:name="_Toc152042585"/>
            <w:bookmarkStart w:id="303" w:name="_Toc300835221"/>
            <w:bookmarkStart w:id="304" w:name="_Toc247514288"/>
            <w:bookmarkStart w:id="305" w:name="_Toc152045796"/>
            <w:bookmarkStart w:id="306" w:name="_Toc144974864"/>
            <w:r>
              <w:rPr>
                <w:rFonts w:hint="eastAsia" w:ascii="宋体" w:hAnsi="宋体" w:eastAsia="宋体" w:cs="宋体"/>
                <w:b/>
                <w:bCs/>
                <w:i w:val="0"/>
                <w:iCs w:val="0"/>
                <w:color w:val="000000"/>
                <w:kern w:val="0"/>
                <w:sz w:val="32"/>
                <w:szCs w:val="32"/>
                <w:u w:val="none"/>
                <w:lang w:val="en-US" w:eastAsia="zh-CN" w:bidi="ar"/>
              </w:rPr>
              <w:t>安徽通康分布式光伏发电项目设备保险报价表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540"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2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项目名称</w:t>
            </w:r>
          </w:p>
        </w:tc>
        <w:tc>
          <w:tcPr>
            <w:tcW w:w="7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项目造价（暂估）</w:t>
            </w:r>
          </w:p>
        </w:tc>
        <w:tc>
          <w:tcPr>
            <w:tcW w:w="10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A:财产一切险</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B:公众责任险</w:t>
            </w:r>
          </w:p>
        </w:tc>
        <w:tc>
          <w:tcPr>
            <w:tcW w:w="3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税率</w:t>
            </w:r>
          </w:p>
        </w:tc>
        <w:tc>
          <w:tcPr>
            <w:tcW w:w="5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color w:val="000000"/>
                <w:kern w:val="0"/>
                <w:sz w:val="20"/>
                <w:szCs w:val="20"/>
                <w:u w:val="none"/>
                <w:lang w:val="en-US" w:eastAsia="zh-CN" w:bidi="ar"/>
              </w:rPr>
              <w:t>合计（A+B）</w:t>
            </w:r>
          </w:p>
        </w:tc>
        <w:tc>
          <w:tcPr>
            <w:tcW w:w="26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480"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12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7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费率（%）</w:t>
            </w: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金额（含税）</w:t>
            </w: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金额（含税）</w:t>
            </w:r>
          </w:p>
        </w:tc>
        <w:tc>
          <w:tcPr>
            <w:tcW w:w="3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5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26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0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亳州新能源发展有限公司亳芜电子信息产业园A区1140kW分布式光伏发电项目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3609562.5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E54C5E"/>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44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亳州新能源发展有限公司亳州芜湖投资开发有限责任公司电子信息产业园C区4452kW分布式光伏发电项目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11410968.75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亳州新能源发展有限公司亳芜电子信息产业园B区5956kW分布式光伏发电项目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21284250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8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亳州新能源发展有限公司亳芜医疗器械产业园2320kW分布式光伏发电项目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7438837.5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亳州新能源发展有限公司亳芜园区农机大市场2000kW分布式光伏发电项目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6371662.5</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56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亳州新能源发展有限公司华东光能园区5950kW分布式光伏发电项目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20900750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6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亳州新能源发展有限公司安徽加南实业有限公司5750KW屋顶分布式光伏发电项目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20576250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16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2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亳州新能源发展有限公司亳州市教育局职教园南区1050kW分布式光伏发电项目项目</w:t>
            </w:r>
          </w:p>
        </w:tc>
        <w:tc>
          <w:tcPr>
            <w:tcW w:w="7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3300000</w:t>
            </w:r>
          </w:p>
        </w:tc>
        <w:tc>
          <w:tcPr>
            <w:tcW w:w="5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E54C5E"/>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2020" w:hRule="atLeast"/>
        </w:trPr>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244" w:type="pct"/>
            <w:tcBorders>
              <w:top w:val="single" w:color="000000" w:sz="4" w:space="0"/>
              <w:left w:val="nil"/>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亳州新能源发展有限公司亳州市教育局职教园北区车棚1150kW分布式光伏发电项目</w:t>
            </w:r>
          </w:p>
        </w:tc>
        <w:tc>
          <w:tcPr>
            <w:tcW w:w="792"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3400000</w:t>
            </w:r>
          </w:p>
        </w:tc>
        <w:tc>
          <w:tcPr>
            <w:tcW w:w="503"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53"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20" w:type="pct"/>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eastAsia" w:ascii="Arial" w:hAnsi="Arial" w:eastAsia="宋体" w:cs="Arial"/>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720" w:hRule="atLeast"/>
        </w:trPr>
        <w:tc>
          <w:tcPr>
            <w:tcW w:w="386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总计</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default" w:ascii="Arial" w:hAnsi="Arial" w:eastAsia="宋体" w:cs="Arial"/>
                <w:b/>
                <w:bCs/>
                <w:i w:val="0"/>
                <w:iCs w:val="0"/>
                <w:color w:val="000000"/>
                <w:sz w:val="20"/>
                <w:szCs w:val="20"/>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68"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left"/>
              <w:rPr>
                <w:rFonts w:hint="default" w:ascii="Arial" w:hAnsi="Arial" w:eastAsia="宋体" w:cs="Arial"/>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 w:type="pct"/>
          <w:trHeight w:val="740" w:hRule="atLeast"/>
        </w:trPr>
        <w:tc>
          <w:tcPr>
            <w:tcW w:w="3865" w:type="pct"/>
            <w:gridSpan w:val="6"/>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报价单位（盖章）</w:t>
            </w:r>
          </w:p>
        </w:tc>
        <w:tc>
          <w:tcPr>
            <w:tcW w:w="1124" w:type="pct"/>
            <w:gridSpan w:val="4"/>
            <w:tcBorders>
              <w:top w:val="nil"/>
              <w:left w:val="nil"/>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8" w:type="pct"/>
          <w:trHeight w:val="1380" w:hRule="atLeast"/>
        </w:trPr>
        <w:tc>
          <w:tcPr>
            <w:tcW w:w="4751" w:type="pct"/>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FF0000"/>
                <w:sz w:val="20"/>
                <w:szCs w:val="20"/>
                <w:u w:val="none"/>
              </w:rPr>
            </w:pPr>
            <w:r>
              <w:rPr>
                <w:rFonts w:hint="eastAsia" w:ascii="宋体" w:hAnsi="宋体" w:eastAsia="宋体" w:cs="宋体"/>
                <w:b/>
                <w:bCs/>
                <w:i w:val="0"/>
                <w:iCs w:val="0"/>
                <w:color w:val="FF0000"/>
                <w:kern w:val="0"/>
                <w:sz w:val="20"/>
                <w:szCs w:val="20"/>
                <w:u w:val="none"/>
                <w:lang w:val="en-US" w:eastAsia="zh-CN" w:bidi="ar"/>
              </w:rPr>
              <w:t>备注：</w:t>
            </w:r>
            <w:r>
              <w:rPr>
                <w:rFonts w:hint="eastAsia" w:ascii="宋体" w:hAnsi="宋体" w:eastAsia="宋体" w:cs="宋体"/>
                <w:b/>
                <w:bCs/>
                <w:i w:val="0"/>
                <w:iCs w:val="0"/>
                <w:color w:val="FF0000"/>
                <w:kern w:val="0"/>
                <w:sz w:val="20"/>
                <w:szCs w:val="20"/>
                <w:u w:val="none"/>
                <w:lang w:val="en-US" w:eastAsia="zh-CN" w:bidi="ar"/>
              </w:rPr>
              <w:br w:type="textWrapping"/>
            </w:r>
            <w:r>
              <w:rPr>
                <w:rFonts w:hint="eastAsia" w:ascii="宋体" w:hAnsi="宋体" w:eastAsia="宋体" w:cs="宋体"/>
                <w:b/>
                <w:bCs/>
                <w:i w:val="0"/>
                <w:iCs w:val="0"/>
                <w:color w:val="FF0000"/>
                <w:kern w:val="0"/>
                <w:sz w:val="20"/>
                <w:szCs w:val="20"/>
                <w:u w:val="none"/>
                <w:lang w:val="en-US" w:eastAsia="zh-CN" w:bidi="ar"/>
              </w:rPr>
              <w:t>1、发票类型为增值税专用发票，</w:t>
            </w:r>
            <w:r>
              <w:rPr>
                <w:rFonts w:hint="eastAsia" w:ascii="宋体" w:hAnsi="宋体" w:eastAsia="宋体" w:cs="宋体"/>
                <w:b/>
                <w:bCs/>
                <w:i w:val="0"/>
                <w:iCs w:val="0"/>
                <w:color w:val="FF0000"/>
                <w:kern w:val="0"/>
                <w:sz w:val="20"/>
                <w:szCs w:val="20"/>
                <w:u w:val="none"/>
                <w:lang w:val="en-US" w:eastAsia="zh-CN" w:bidi="ar"/>
              </w:rPr>
              <w:br w:type="textWrapping"/>
            </w:r>
            <w:r>
              <w:rPr>
                <w:rFonts w:hint="eastAsia" w:ascii="宋体" w:hAnsi="宋体" w:eastAsia="宋体" w:cs="宋体"/>
                <w:b/>
                <w:bCs/>
                <w:i w:val="0"/>
                <w:iCs w:val="0"/>
                <w:color w:val="FF0000"/>
                <w:kern w:val="0"/>
                <w:sz w:val="20"/>
                <w:szCs w:val="20"/>
                <w:u w:val="none"/>
                <w:lang w:val="en-US" w:eastAsia="zh-CN" w:bidi="ar"/>
              </w:rPr>
              <w:t>2、财产一切险费率不得高于0.2%，公众责任险金额不得高于5000元。</w:t>
            </w:r>
            <w:r>
              <w:rPr>
                <w:rFonts w:hint="eastAsia" w:ascii="宋体" w:hAnsi="宋体" w:eastAsia="宋体" w:cs="宋体"/>
                <w:b/>
                <w:bCs/>
                <w:i w:val="0"/>
                <w:iCs w:val="0"/>
                <w:color w:val="FF0000"/>
                <w:kern w:val="0"/>
                <w:sz w:val="20"/>
                <w:szCs w:val="20"/>
                <w:u w:val="none"/>
                <w:lang w:val="en-US" w:eastAsia="zh-CN" w:bidi="ar"/>
              </w:rPr>
              <w:br w:type="textWrapping"/>
            </w:r>
            <w:r>
              <w:rPr>
                <w:rFonts w:hint="eastAsia" w:ascii="宋体" w:hAnsi="宋体" w:eastAsia="宋体" w:cs="宋体"/>
                <w:b/>
                <w:bCs/>
                <w:i w:val="0"/>
                <w:iCs w:val="0"/>
                <w:color w:val="FF0000"/>
                <w:kern w:val="0"/>
                <w:sz w:val="20"/>
                <w:szCs w:val="20"/>
                <w:u w:val="none"/>
                <w:lang w:val="en-US" w:eastAsia="zh-CN" w:bidi="ar"/>
              </w:rPr>
              <w:t>3、项目造价以采购人提供的造价为准，据实结算；</w:t>
            </w:r>
          </w:p>
        </w:tc>
      </w:tr>
    </w:tbl>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301"/>
    <w:bookmarkEnd w:id="302"/>
    <w:bookmarkEnd w:id="303"/>
    <w:bookmarkEnd w:id="304"/>
    <w:bookmarkEnd w:id="305"/>
    <w:bookmarkEnd w:id="306"/>
    <w:p>
      <w:pPr>
        <w:pStyle w:val="2"/>
        <w:numPr>
          <w:ilvl w:val="0"/>
          <w:numId w:val="4"/>
        </w:numPr>
        <w:jc w:val="center"/>
      </w:pPr>
      <w:bookmarkStart w:id="307" w:name="_Toc300835223"/>
      <w:r>
        <w:t>资格审查资料</w:t>
      </w:r>
    </w:p>
    <w:p>
      <w:pPr>
        <w:spacing w:before="53"/>
        <w:jc w:val="center"/>
        <w:rPr>
          <w:rFonts w:hint="eastAsia"/>
          <w:lang w:eastAsia="zh-CN"/>
        </w:rPr>
      </w:pPr>
      <w:r>
        <w:rPr>
          <w:rFonts w:hint="eastAsia"/>
          <w:b/>
          <w:bCs/>
          <w:color w:val="FF0000"/>
          <w:lang w:val="en-US" w:eastAsia="zh-CN"/>
        </w:rPr>
        <w:t>（注：供应商根据询比公告/邀请书要求按需填写，如无要求，可不填写。）</w:t>
      </w:r>
    </w:p>
    <w:p>
      <w:pPr>
        <w:pStyle w:val="4"/>
        <w:jc w:val="both"/>
        <w:rPr>
          <w:rFonts w:hint="eastAsia"/>
        </w:rPr>
      </w:pPr>
      <w:bookmarkStart w:id="308" w:name="_Toc247085891"/>
      <w:bookmarkStart w:id="309" w:name="_Toc246996373"/>
      <w:bookmarkStart w:id="310" w:name="_Toc246997116"/>
      <w:bookmarkStart w:id="311" w:name="_Toc179632828"/>
      <w:bookmarkStart w:id="312" w:name="_Toc296602618"/>
      <w:r>
        <w:t>（一）</w:t>
      </w:r>
      <w:r>
        <w:rPr>
          <w:rFonts w:hint="eastAsia"/>
          <w:lang w:eastAsia="zh-CN"/>
        </w:rPr>
        <w:t>供应商</w:t>
      </w:r>
      <w:r>
        <w:t>基本情况表</w:t>
      </w:r>
      <w:bookmarkEnd w:id="308"/>
      <w:bookmarkEnd w:id="309"/>
      <w:bookmarkEnd w:id="310"/>
      <w:bookmarkEnd w:id="311"/>
      <w:bookmarkEnd w:id="312"/>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4"/>
        <w:jc w:val="both"/>
      </w:pPr>
      <w:bookmarkStart w:id="313" w:name="_Toc296602615"/>
      <w:bookmarkStart w:id="314" w:name="_Toc246996370"/>
      <w:bookmarkStart w:id="315" w:name="_Toc246997113"/>
      <w:bookmarkStart w:id="316" w:name="_Toc247085888"/>
      <w:bookmarkStart w:id="317" w:name="_Toc144974878"/>
      <w:bookmarkStart w:id="318" w:name="_Toc247514302"/>
      <w:bookmarkStart w:id="319" w:name="_Toc152045810"/>
      <w:bookmarkStart w:id="320" w:name="_Toc247527850"/>
      <w:bookmarkStart w:id="321" w:name="_Toc300835226"/>
      <w:bookmarkStart w:id="322" w:name="_Toc152042599"/>
      <w:r>
        <w:t>（</w:t>
      </w:r>
      <w:r>
        <w:rPr>
          <w:rFonts w:hint="eastAsia"/>
          <w:lang w:val="en-US" w:eastAsia="zh-CN"/>
        </w:rPr>
        <w:t>二</w:t>
      </w:r>
      <w:r>
        <w:t>）项目管理机构组成表</w:t>
      </w:r>
      <w:bookmarkEnd w:id="313"/>
      <w:bookmarkEnd w:id="314"/>
      <w:bookmarkEnd w:id="315"/>
      <w:bookmarkEnd w:id="316"/>
    </w:p>
    <w:p>
      <w:pPr>
        <w:spacing w:line="440" w:lineRule="exact"/>
        <w:jc w:val="center"/>
        <w:rPr>
          <w:rFonts w:eastAsia="黑体"/>
          <w:sz w:val="23"/>
          <w:szCs w:val="23"/>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rPr>
          <w:rFonts w:eastAsia="黑体"/>
          <w:sz w:val="23"/>
          <w:szCs w:val="23"/>
        </w:rPr>
      </w:pPr>
      <w:bookmarkStart w:id="323" w:name="_Toc296602616"/>
      <w:bookmarkStart w:id="324" w:name="_Toc246996371"/>
      <w:bookmarkStart w:id="325" w:name="_Toc246997114"/>
      <w:bookmarkStart w:id="326" w:name="_Toc247085889"/>
      <w:r>
        <w:t>（</w:t>
      </w:r>
      <w:r>
        <w:rPr>
          <w:rFonts w:hint="eastAsia"/>
          <w:lang w:val="en-US" w:eastAsia="zh-CN"/>
        </w:rPr>
        <w:t>三</w:t>
      </w:r>
      <w:r>
        <w:t>）</w:t>
      </w:r>
      <w:r>
        <w:rPr>
          <w:rFonts w:hint="eastAsia"/>
          <w:lang w:eastAsia="zh-CN"/>
        </w:rPr>
        <w:t>项目负责人</w:t>
      </w:r>
      <w:r>
        <w:t>简历表</w:t>
      </w:r>
      <w:bookmarkEnd w:id="323"/>
      <w:bookmarkEnd w:id="324"/>
      <w:bookmarkEnd w:id="325"/>
      <w:bookmarkEnd w:id="326"/>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7"/>
      <w:bookmarkEnd w:id="318"/>
      <w:bookmarkEnd w:id="319"/>
      <w:bookmarkEnd w:id="320"/>
      <w:bookmarkEnd w:id="321"/>
      <w:bookmarkEnd w:id="322"/>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27" w:name="_Toc144974879"/>
      <w:bookmarkStart w:id="328" w:name="_Toc247527851"/>
      <w:bookmarkStart w:id="329" w:name="_Toc247514303"/>
      <w:bookmarkStart w:id="330" w:name="_Toc152045811"/>
      <w:bookmarkStart w:id="331" w:name="_Toc152042600"/>
    </w:p>
    <w:p>
      <w:pPr>
        <w:spacing w:line="440" w:lineRule="exact"/>
        <w:rPr>
          <w:rFonts w:hint="default" w:ascii="Times New Roman" w:hAnsi="Times New Roman" w:cs="Times New Roman"/>
        </w:rPr>
      </w:pPr>
    </w:p>
    <w:bookmarkEnd w:id="327"/>
    <w:bookmarkEnd w:id="328"/>
    <w:bookmarkEnd w:id="329"/>
    <w:bookmarkEnd w:id="330"/>
    <w:bookmarkEnd w:id="331"/>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b/>
          <w:bCs/>
          <w:color w:val="FF0000"/>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如有，按询比文件要求提供。</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307"/>
    <w:p>
      <w:pPr>
        <w:pStyle w:val="4"/>
        <w:numPr>
          <w:ilvl w:val="0"/>
          <w:numId w:val="5"/>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32" w:name="_Toc247530162"/>
      <w:bookmarkStart w:id="333" w:name="_Toc247527853"/>
      <w:bookmarkStart w:id="334" w:name="_Toc247514305"/>
      <w:bookmarkStart w:id="335" w:name="_Toc152042602"/>
      <w:bookmarkStart w:id="336" w:name="_Toc152045813"/>
      <w:bookmarkStart w:id="337" w:name="_Toc144974881"/>
    </w:p>
    <w:bookmarkEnd w:id="332"/>
    <w:bookmarkEnd w:id="333"/>
    <w:bookmarkEnd w:id="334"/>
    <w:bookmarkEnd w:id="335"/>
    <w:bookmarkEnd w:id="336"/>
    <w:bookmarkEnd w:id="337"/>
    <w:p>
      <w:pPr>
        <w:pStyle w:val="2"/>
        <w:jc w:val="center"/>
        <w:rPr>
          <w:rFonts w:hint="default" w:ascii="Times New Roman" w:hAnsi="Times New Roman" w:cs="Times New Roman"/>
        </w:rPr>
      </w:pPr>
      <w:bookmarkStart w:id="338" w:name="_Toc271821942"/>
      <w:bookmarkStart w:id="339"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38"/>
      <w:bookmarkEnd w:id="339"/>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20F872A-0802-4D57-AA00-920379A89976}"/>
  </w:font>
  <w:font w:name="Arial">
    <w:panose1 w:val="020B0604020202020204"/>
    <w:charset w:val="01"/>
    <w:family w:val="swiss"/>
    <w:pitch w:val="default"/>
    <w:sig w:usb0="E0002EFF" w:usb1="C000785B" w:usb2="00000009" w:usb3="00000000" w:csb0="400001FF" w:csb1="FFFF0000"/>
    <w:embedRegular r:id="rId2" w:fontKey="{9EDD8F7F-DC88-49EF-8D0F-269E0D39A564}"/>
  </w:font>
  <w:font w:name="黑体">
    <w:panose1 w:val="02010609060101010101"/>
    <w:charset w:val="86"/>
    <w:family w:val="auto"/>
    <w:pitch w:val="default"/>
    <w:sig w:usb0="800002BF" w:usb1="38CF7CFA" w:usb2="00000016" w:usb3="00000000" w:csb0="00040001" w:csb1="00000000"/>
    <w:embedRegular r:id="rId3" w:fontKey="{F4156222-EA54-416E-AB0F-A01EC28AB6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9632966-9C2D-49B4-9B23-5DC26FDDFF44}"/>
  </w:font>
  <w:font w:name="仿宋_GB2312">
    <w:panose1 w:val="02010609030101010101"/>
    <w:charset w:val="86"/>
    <w:family w:val="modern"/>
    <w:pitch w:val="default"/>
    <w:sig w:usb0="00000001" w:usb1="080E0000" w:usb2="00000000" w:usb3="00000000" w:csb0="00040000" w:csb1="00000000"/>
    <w:embedRegular r:id="rId5" w:fontKey="{FD896FCE-780B-4E46-8902-A441B9F2F329}"/>
  </w:font>
  <w:font w:name="方正小标宋简体">
    <w:panose1 w:val="03000509000000000000"/>
    <w:charset w:val="86"/>
    <w:family w:val="auto"/>
    <w:pitch w:val="default"/>
    <w:sig w:usb0="00000001" w:usb1="080E0000" w:usb2="00000000" w:usb3="00000000" w:csb0="00040000" w:csb1="00000000"/>
    <w:embedRegular r:id="rId6" w:fontKey="{C94B7063-2C6A-4D68-BB6E-8CCBC454DDD4}"/>
  </w:font>
  <w:font w:name="楷体">
    <w:panose1 w:val="02010609060101010101"/>
    <w:charset w:val="86"/>
    <w:family w:val="auto"/>
    <w:pitch w:val="default"/>
    <w:sig w:usb0="800002BF" w:usb1="38CF7CFA" w:usb2="00000016" w:usb3="00000000" w:csb0="00040001" w:csb1="00000000"/>
    <w:embedRegular r:id="rId7" w:fontKey="{4E869F65-DAFD-4B8B-82C6-A2B0C0883B95}"/>
  </w:font>
  <w:font w:name="Wingdings 2">
    <w:panose1 w:val="05020102010507070707"/>
    <w:charset w:val="00"/>
    <w:family w:val="auto"/>
    <w:pitch w:val="default"/>
    <w:sig w:usb0="00000000" w:usb1="00000000" w:usb2="00000000" w:usb3="00000000" w:csb0="80000000" w:csb1="00000000"/>
    <w:embedRegular r:id="rId8" w:fontKey="{75885DF2-5698-497A-A9DA-9F64FBBC9D02}"/>
  </w:font>
  <w:font w:name="方正仿宋_GB2312">
    <w:panose1 w:val="02000000000000000000"/>
    <w:charset w:val="86"/>
    <w:family w:val="auto"/>
    <w:pitch w:val="default"/>
    <w:sig w:usb0="A00002BF" w:usb1="184F6CFA" w:usb2="00000012" w:usb3="00000000" w:csb0="00040001" w:csb1="00000000"/>
    <w:embedRegular r:id="rId9" w:fontKey="{343BAD10-AF10-4929-9F74-69133DB78C49}"/>
  </w:font>
  <w:font w:name="仿宋">
    <w:panose1 w:val="02010609060101010101"/>
    <w:charset w:val="86"/>
    <w:family w:val="auto"/>
    <w:pitch w:val="default"/>
    <w:sig w:usb0="800002BF" w:usb1="38CF7CFA" w:usb2="00000016" w:usb3="00000000" w:csb0="00040001" w:csb1="00000000"/>
    <w:embedRegular r:id="rId10" w:fontKey="{4A3CBAE3-10AE-420E-B56F-2E850C247C1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AC0158"/>
    <w:multiLevelType w:val="singleLevel"/>
    <w:tmpl w:val="81AC0158"/>
    <w:lvl w:ilvl="0" w:tentative="0">
      <w:start w:val="2"/>
      <w:numFmt w:val="decimal"/>
      <w:suff w:val="nothing"/>
      <w:lvlText w:val="%1、"/>
      <w:lvlJc w:val="left"/>
    </w:lvl>
  </w:abstractNum>
  <w:abstractNum w:abstractNumId="1">
    <w:nsid w:val="C37E9EF7"/>
    <w:multiLevelType w:val="singleLevel"/>
    <w:tmpl w:val="C37E9EF7"/>
    <w:lvl w:ilvl="0" w:tentative="0">
      <w:start w:val="9"/>
      <w:numFmt w:val="chineseCounting"/>
      <w:suff w:val="nothing"/>
      <w:lvlText w:val="%1、"/>
      <w:lvlJc w:val="left"/>
      <w:rPr>
        <w:rFonts w:hint="eastAsia"/>
      </w:rPr>
    </w:lvl>
  </w:abstractNum>
  <w:abstractNum w:abstractNumId="2">
    <w:nsid w:val="DDFDD802"/>
    <w:multiLevelType w:val="singleLevel"/>
    <w:tmpl w:val="DDFDD802"/>
    <w:lvl w:ilvl="0" w:tentative="0">
      <w:start w:val="8"/>
      <w:numFmt w:val="chineseCounting"/>
      <w:suff w:val="nothing"/>
      <w:lvlText w:val="%1、"/>
      <w:lvlJc w:val="left"/>
      <w:rPr>
        <w:rFonts w:hint="eastAsia"/>
      </w:rPr>
    </w:lvl>
  </w:abstractNum>
  <w:abstractNum w:abstractNumId="3">
    <w:nsid w:val="EEA743A2"/>
    <w:multiLevelType w:val="singleLevel"/>
    <w:tmpl w:val="EEA743A2"/>
    <w:lvl w:ilvl="0" w:tentative="0">
      <w:start w:val="5"/>
      <w:numFmt w:val="chineseCounting"/>
      <w:suff w:val="nothing"/>
      <w:lvlText w:val="%1、"/>
      <w:lvlJc w:val="left"/>
      <w:rPr>
        <w:rFonts w:hint="eastAsia"/>
      </w:rPr>
    </w:lvl>
  </w:abstractNum>
  <w:abstractNum w:abstractNumId="4">
    <w:nsid w:val="190117E8"/>
    <w:multiLevelType w:val="singleLevel"/>
    <w:tmpl w:val="190117E8"/>
    <w:lvl w:ilvl="0" w:tentative="0">
      <w:start w:val="4"/>
      <w:numFmt w:val="chineseCounting"/>
      <w:suff w:val="nothing"/>
      <w:lvlText w:val="%1、"/>
      <w:lvlJc w:val="left"/>
      <w:rPr>
        <w:rFonts w:hint="eastAsia"/>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881DC7"/>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A9250C"/>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264C8"/>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12B3B"/>
    <w:rsid w:val="072F6604"/>
    <w:rsid w:val="073836D3"/>
    <w:rsid w:val="073A0ECF"/>
    <w:rsid w:val="074267A8"/>
    <w:rsid w:val="07462294"/>
    <w:rsid w:val="074A7C93"/>
    <w:rsid w:val="074F1149"/>
    <w:rsid w:val="07632E46"/>
    <w:rsid w:val="07666E00"/>
    <w:rsid w:val="07723470"/>
    <w:rsid w:val="07762B7A"/>
    <w:rsid w:val="077965A7"/>
    <w:rsid w:val="07832BA1"/>
    <w:rsid w:val="07972327"/>
    <w:rsid w:val="079E5C2C"/>
    <w:rsid w:val="07A85930"/>
    <w:rsid w:val="07B408D7"/>
    <w:rsid w:val="07D63653"/>
    <w:rsid w:val="07EE56D8"/>
    <w:rsid w:val="07F65A68"/>
    <w:rsid w:val="081608A9"/>
    <w:rsid w:val="082D0DDC"/>
    <w:rsid w:val="08346591"/>
    <w:rsid w:val="083726B7"/>
    <w:rsid w:val="084A40EA"/>
    <w:rsid w:val="08554A0D"/>
    <w:rsid w:val="08563EE1"/>
    <w:rsid w:val="08634780"/>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6B1B3E"/>
    <w:rsid w:val="098350DA"/>
    <w:rsid w:val="098F4C8F"/>
    <w:rsid w:val="099948FD"/>
    <w:rsid w:val="09A71C3D"/>
    <w:rsid w:val="09A92667"/>
    <w:rsid w:val="09AF2C22"/>
    <w:rsid w:val="09B32D8C"/>
    <w:rsid w:val="09B94F9F"/>
    <w:rsid w:val="09BB6AB2"/>
    <w:rsid w:val="09C37FE6"/>
    <w:rsid w:val="09C6146A"/>
    <w:rsid w:val="09D236A1"/>
    <w:rsid w:val="09D26061"/>
    <w:rsid w:val="09DB25D9"/>
    <w:rsid w:val="09DF226A"/>
    <w:rsid w:val="09E87633"/>
    <w:rsid w:val="09EC69D2"/>
    <w:rsid w:val="09F31262"/>
    <w:rsid w:val="09FD66D9"/>
    <w:rsid w:val="0A074254"/>
    <w:rsid w:val="0A0B0C4F"/>
    <w:rsid w:val="0A0D7099"/>
    <w:rsid w:val="0A264CE3"/>
    <w:rsid w:val="0A2F0DBE"/>
    <w:rsid w:val="0A3B332D"/>
    <w:rsid w:val="0A3E36F7"/>
    <w:rsid w:val="0A466107"/>
    <w:rsid w:val="0A500304"/>
    <w:rsid w:val="0A5234C1"/>
    <w:rsid w:val="0A704DEE"/>
    <w:rsid w:val="0A801619"/>
    <w:rsid w:val="0A8729A8"/>
    <w:rsid w:val="0A8B5261"/>
    <w:rsid w:val="0A8E5075"/>
    <w:rsid w:val="0A9462D3"/>
    <w:rsid w:val="0AA51080"/>
    <w:rsid w:val="0AA913FB"/>
    <w:rsid w:val="0AAE6B76"/>
    <w:rsid w:val="0AB37F43"/>
    <w:rsid w:val="0AB779C9"/>
    <w:rsid w:val="0AB930A2"/>
    <w:rsid w:val="0ADD0DF0"/>
    <w:rsid w:val="0AEB40E8"/>
    <w:rsid w:val="0AF0197B"/>
    <w:rsid w:val="0AF12519"/>
    <w:rsid w:val="0AFF69E2"/>
    <w:rsid w:val="0B040E20"/>
    <w:rsid w:val="0B0A404A"/>
    <w:rsid w:val="0B0E131B"/>
    <w:rsid w:val="0B224DC6"/>
    <w:rsid w:val="0B416906"/>
    <w:rsid w:val="0B5767B5"/>
    <w:rsid w:val="0B5D1C2A"/>
    <w:rsid w:val="0B685C3C"/>
    <w:rsid w:val="0B7202E7"/>
    <w:rsid w:val="0B7C0033"/>
    <w:rsid w:val="0B8776BC"/>
    <w:rsid w:val="0B923CFA"/>
    <w:rsid w:val="0B991D46"/>
    <w:rsid w:val="0B9F686D"/>
    <w:rsid w:val="0BDC31C7"/>
    <w:rsid w:val="0BDE31B0"/>
    <w:rsid w:val="0C110CA2"/>
    <w:rsid w:val="0C165556"/>
    <w:rsid w:val="0C581CC5"/>
    <w:rsid w:val="0C773477"/>
    <w:rsid w:val="0C774C9E"/>
    <w:rsid w:val="0C873133"/>
    <w:rsid w:val="0C9F113B"/>
    <w:rsid w:val="0CAF7C91"/>
    <w:rsid w:val="0CD3448B"/>
    <w:rsid w:val="0CF072F3"/>
    <w:rsid w:val="0D0271E7"/>
    <w:rsid w:val="0D1336AF"/>
    <w:rsid w:val="0D136775"/>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E08EE"/>
    <w:rsid w:val="0DD00B0A"/>
    <w:rsid w:val="0DD331D8"/>
    <w:rsid w:val="0DDB677F"/>
    <w:rsid w:val="0E053AB5"/>
    <w:rsid w:val="0E093A81"/>
    <w:rsid w:val="0E1201C4"/>
    <w:rsid w:val="0E2844A2"/>
    <w:rsid w:val="0E323572"/>
    <w:rsid w:val="0E35096D"/>
    <w:rsid w:val="0E3C08A3"/>
    <w:rsid w:val="0E626142"/>
    <w:rsid w:val="0E6C36EA"/>
    <w:rsid w:val="0E6D3EE4"/>
    <w:rsid w:val="0E7F6C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2944A3"/>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55BBA"/>
    <w:rsid w:val="134A448A"/>
    <w:rsid w:val="134F427F"/>
    <w:rsid w:val="134F7EA7"/>
    <w:rsid w:val="135107A8"/>
    <w:rsid w:val="136066CF"/>
    <w:rsid w:val="13657E31"/>
    <w:rsid w:val="136C3340"/>
    <w:rsid w:val="13734411"/>
    <w:rsid w:val="1387094F"/>
    <w:rsid w:val="138D7D05"/>
    <w:rsid w:val="139C08EB"/>
    <w:rsid w:val="13A141BB"/>
    <w:rsid w:val="13D35238"/>
    <w:rsid w:val="13D81B1F"/>
    <w:rsid w:val="14061B66"/>
    <w:rsid w:val="14143273"/>
    <w:rsid w:val="14165942"/>
    <w:rsid w:val="14215C1B"/>
    <w:rsid w:val="142B5FE2"/>
    <w:rsid w:val="14542872"/>
    <w:rsid w:val="14773A8D"/>
    <w:rsid w:val="147E2423"/>
    <w:rsid w:val="1487273A"/>
    <w:rsid w:val="148C28CB"/>
    <w:rsid w:val="14944440"/>
    <w:rsid w:val="14A059A0"/>
    <w:rsid w:val="14A800EA"/>
    <w:rsid w:val="14B16C7D"/>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338E"/>
    <w:rsid w:val="155362A8"/>
    <w:rsid w:val="155A7AD3"/>
    <w:rsid w:val="15735CFA"/>
    <w:rsid w:val="158374C1"/>
    <w:rsid w:val="15A62ECC"/>
    <w:rsid w:val="15B14179"/>
    <w:rsid w:val="15C516BD"/>
    <w:rsid w:val="15CC3B64"/>
    <w:rsid w:val="15CF6FE1"/>
    <w:rsid w:val="15D469C1"/>
    <w:rsid w:val="15F555B1"/>
    <w:rsid w:val="160055BA"/>
    <w:rsid w:val="160475A2"/>
    <w:rsid w:val="160C7A52"/>
    <w:rsid w:val="160F71A0"/>
    <w:rsid w:val="162304BC"/>
    <w:rsid w:val="16260CA4"/>
    <w:rsid w:val="164D0F49"/>
    <w:rsid w:val="166266B1"/>
    <w:rsid w:val="166718DF"/>
    <w:rsid w:val="16932BF5"/>
    <w:rsid w:val="169528F0"/>
    <w:rsid w:val="16C724D4"/>
    <w:rsid w:val="16D411E7"/>
    <w:rsid w:val="16ED0036"/>
    <w:rsid w:val="16F47617"/>
    <w:rsid w:val="170756D4"/>
    <w:rsid w:val="170F4587"/>
    <w:rsid w:val="17103D25"/>
    <w:rsid w:val="173043C7"/>
    <w:rsid w:val="173E6AE4"/>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413730"/>
    <w:rsid w:val="18627B26"/>
    <w:rsid w:val="18695DE3"/>
    <w:rsid w:val="18930C59"/>
    <w:rsid w:val="189B5F22"/>
    <w:rsid w:val="18A70256"/>
    <w:rsid w:val="18A70F0E"/>
    <w:rsid w:val="18A944F8"/>
    <w:rsid w:val="18B73074"/>
    <w:rsid w:val="18DA76F1"/>
    <w:rsid w:val="18E57F8F"/>
    <w:rsid w:val="18E86D07"/>
    <w:rsid w:val="18EC2236"/>
    <w:rsid w:val="18EE47F3"/>
    <w:rsid w:val="18F25DD8"/>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EC6857"/>
    <w:rsid w:val="1AF80851"/>
    <w:rsid w:val="1B0361BC"/>
    <w:rsid w:val="1B097409"/>
    <w:rsid w:val="1B116412"/>
    <w:rsid w:val="1B220946"/>
    <w:rsid w:val="1B262D26"/>
    <w:rsid w:val="1B2670F4"/>
    <w:rsid w:val="1B2862C1"/>
    <w:rsid w:val="1B2D1E19"/>
    <w:rsid w:val="1B2D7FD6"/>
    <w:rsid w:val="1B3165F8"/>
    <w:rsid w:val="1B3A5220"/>
    <w:rsid w:val="1B3B258E"/>
    <w:rsid w:val="1B652C95"/>
    <w:rsid w:val="1B70155F"/>
    <w:rsid w:val="1B723039"/>
    <w:rsid w:val="1B7700FA"/>
    <w:rsid w:val="1B894EBC"/>
    <w:rsid w:val="1B8C1172"/>
    <w:rsid w:val="1B8D445B"/>
    <w:rsid w:val="1B9269B7"/>
    <w:rsid w:val="1BA0156C"/>
    <w:rsid w:val="1BB12BB2"/>
    <w:rsid w:val="1BB50563"/>
    <w:rsid w:val="1BBD091F"/>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9F0025"/>
    <w:rsid w:val="1CB07DF9"/>
    <w:rsid w:val="1CB612AF"/>
    <w:rsid w:val="1CBF5FD1"/>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CA6AB6"/>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780791"/>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B83463"/>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7196D"/>
    <w:rsid w:val="21BC5E24"/>
    <w:rsid w:val="21C13A32"/>
    <w:rsid w:val="21CA7725"/>
    <w:rsid w:val="21CB5418"/>
    <w:rsid w:val="21E23A88"/>
    <w:rsid w:val="21EA7F94"/>
    <w:rsid w:val="2205196D"/>
    <w:rsid w:val="22270787"/>
    <w:rsid w:val="2230171F"/>
    <w:rsid w:val="224D73DD"/>
    <w:rsid w:val="22592601"/>
    <w:rsid w:val="2259286B"/>
    <w:rsid w:val="22603DB2"/>
    <w:rsid w:val="226D7B83"/>
    <w:rsid w:val="2293123C"/>
    <w:rsid w:val="229E633A"/>
    <w:rsid w:val="22A570EC"/>
    <w:rsid w:val="22D569A0"/>
    <w:rsid w:val="23024E6A"/>
    <w:rsid w:val="230F1167"/>
    <w:rsid w:val="232E56FD"/>
    <w:rsid w:val="233F5F96"/>
    <w:rsid w:val="235A4CA6"/>
    <w:rsid w:val="235F4D23"/>
    <w:rsid w:val="236D2FF8"/>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0567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940BF"/>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481571"/>
    <w:rsid w:val="28523AB6"/>
    <w:rsid w:val="285F5293"/>
    <w:rsid w:val="285F68BA"/>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863E1B"/>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139BA"/>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76DAE"/>
    <w:rsid w:val="2E9C6490"/>
    <w:rsid w:val="2EA109C3"/>
    <w:rsid w:val="2EA40069"/>
    <w:rsid w:val="2EA9088F"/>
    <w:rsid w:val="2EAA3B87"/>
    <w:rsid w:val="2EB66E96"/>
    <w:rsid w:val="2EBC23A0"/>
    <w:rsid w:val="2ED022C0"/>
    <w:rsid w:val="2EFA0191"/>
    <w:rsid w:val="2F3565C7"/>
    <w:rsid w:val="2F3E191F"/>
    <w:rsid w:val="2F436846"/>
    <w:rsid w:val="2F4556CE"/>
    <w:rsid w:val="2F6F3C93"/>
    <w:rsid w:val="2F754A27"/>
    <w:rsid w:val="2F8135BA"/>
    <w:rsid w:val="2FB1448A"/>
    <w:rsid w:val="2FC52051"/>
    <w:rsid w:val="2FC802AE"/>
    <w:rsid w:val="2FCC29AF"/>
    <w:rsid w:val="2FCC2A87"/>
    <w:rsid w:val="2FF40230"/>
    <w:rsid w:val="30030473"/>
    <w:rsid w:val="301C41BF"/>
    <w:rsid w:val="301D7D6A"/>
    <w:rsid w:val="302369A0"/>
    <w:rsid w:val="303474C0"/>
    <w:rsid w:val="3040577F"/>
    <w:rsid w:val="305C41A9"/>
    <w:rsid w:val="30766E97"/>
    <w:rsid w:val="307C26FF"/>
    <w:rsid w:val="30820205"/>
    <w:rsid w:val="308E41B5"/>
    <w:rsid w:val="30952C59"/>
    <w:rsid w:val="30B5176D"/>
    <w:rsid w:val="30D05D96"/>
    <w:rsid w:val="30FF4D69"/>
    <w:rsid w:val="310E5321"/>
    <w:rsid w:val="3113559B"/>
    <w:rsid w:val="311978DB"/>
    <w:rsid w:val="312421F6"/>
    <w:rsid w:val="3127420C"/>
    <w:rsid w:val="31375948"/>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612B9"/>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AE56A1"/>
    <w:rsid w:val="33B71CA0"/>
    <w:rsid w:val="33B7637D"/>
    <w:rsid w:val="33CF2056"/>
    <w:rsid w:val="33D4661F"/>
    <w:rsid w:val="33ED39C2"/>
    <w:rsid w:val="34012F1B"/>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6F66D51"/>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A47D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B7DF1"/>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679C3"/>
    <w:rsid w:val="3C2E50FB"/>
    <w:rsid w:val="3C300842"/>
    <w:rsid w:val="3C37637A"/>
    <w:rsid w:val="3C4A12AD"/>
    <w:rsid w:val="3C5125FC"/>
    <w:rsid w:val="3C5A59E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07A5A"/>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B7664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86DA2"/>
    <w:rsid w:val="431B31A4"/>
    <w:rsid w:val="43325808"/>
    <w:rsid w:val="433E1CAF"/>
    <w:rsid w:val="43412297"/>
    <w:rsid w:val="43413ED4"/>
    <w:rsid w:val="434C1AB7"/>
    <w:rsid w:val="4351587E"/>
    <w:rsid w:val="43560B8E"/>
    <w:rsid w:val="43594499"/>
    <w:rsid w:val="435E7A42"/>
    <w:rsid w:val="43636C3F"/>
    <w:rsid w:val="436E5353"/>
    <w:rsid w:val="438073DF"/>
    <w:rsid w:val="43972F54"/>
    <w:rsid w:val="439D6340"/>
    <w:rsid w:val="43A90F98"/>
    <w:rsid w:val="43AB7C4E"/>
    <w:rsid w:val="43B753A5"/>
    <w:rsid w:val="43F403A7"/>
    <w:rsid w:val="43FB7987"/>
    <w:rsid w:val="43FD7280"/>
    <w:rsid w:val="44033DFF"/>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2210E"/>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6F4261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3F63E5"/>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4E592A"/>
    <w:rsid w:val="49553696"/>
    <w:rsid w:val="4968127C"/>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67718"/>
    <w:rsid w:val="4AB81863"/>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6776B0"/>
    <w:rsid w:val="4B810772"/>
    <w:rsid w:val="4B8464B4"/>
    <w:rsid w:val="4B895879"/>
    <w:rsid w:val="4B8E3DC5"/>
    <w:rsid w:val="4BB21AF4"/>
    <w:rsid w:val="4BB54107"/>
    <w:rsid w:val="4BB67EEE"/>
    <w:rsid w:val="4BBE2AEB"/>
    <w:rsid w:val="4BD17814"/>
    <w:rsid w:val="4BDC5109"/>
    <w:rsid w:val="4BE84FA7"/>
    <w:rsid w:val="4BF70C92"/>
    <w:rsid w:val="4BFB5105"/>
    <w:rsid w:val="4BFD0513"/>
    <w:rsid w:val="4BFE1DC3"/>
    <w:rsid w:val="4C005E77"/>
    <w:rsid w:val="4C194E4E"/>
    <w:rsid w:val="4C1A02C6"/>
    <w:rsid w:val="4C2B76C1"/>
    <w:rsid w:val="4C2C2DD4"/>
    <w:rsid w:val="4C5419A1"/>
    <w:rsid w:val="4C5429A3"/>
    <w:rsid w:val="4C645A11"/>
    <w:rsid w:val="4C845B43"/>
    <w:rsid w:val="4C87254B"/>
    <w:rsid w:val="4CBC0529"/>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516BA"/>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5A5003"/>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76A8F"/>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456FC2"/>
    <w:rsid w:val="595D3E12"/>
    <w:rsid w:val="598D4177"/>
    <w:rsid w:val="59946D7E"/>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6C2A10"/>
    <w:rsid w:val="5A70211C"/>
    <w:rsid w:val="5A9164F8"/>
    <w:rsid w:val="5AA47FD9"/>
    <w:rsid w:val="5AAB2A29"/>
    <w:rsid w:val="5AAB3211"/>
    <w:rsid w:val="5AAC7307"/>
    <w:rsid w:val="5AB86388"/>
    <w:rsid w:val="5ABF41C0"/>
    <w:rsid w:val="5ACA577B"/>
    <w:rsid w:val="5ACE5056"/>
    <w:rsid w:val="5AD07CB2"/>
    <w:rsid w:val="5AD14B46"/>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AE6123"/>
    <w:rsid w:val="5CB214C2"/>
    <w:rsid w:val="5CBA57BD"/>
    <w:rsid w:val="5CC5471C"/>
    <w:rsid w:val="5CC93515"/>
    <w:rsid w:val="5CCF77F7"/>
    <w:rsid w:val="5CDC5386"/>
    <w:rsid w:val="5CE60816"/>
    <w:rsid w:val="5CED3EB9"/>
    <w:rsid w:val="5CEE378D"/>
    <w:rsid w:val="5CEE7B85"/>
    <w:rsid w:val="5CF07506"/>
    <w:rsid w:val="5CF73D69"/>
    <w:rsid w:val="5CFF1E3E"/>
    <w:rsid w:val="5D202057"/>
    <w:rsid w:val="5D2E37A2"/>
    <w:rsid w:val="5D4700C2"/>
    <w:rsid w:val="5D512849"/>
    <w:rsid w:val="5D577585"/>
    <w:rsid w:val="5D6C4615"/>
    <w:rsid w:val="5D7C5A81"/>
    <w:rsid w:val="5D9A391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42270"/>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DB2A06"/>
    <w:rsid w:val="62EF200D"/>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4E3D19"/>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5C0F47"/>
    <w:rsid w:val="656A4332"/>
    <w:rsid w:val="65733372"/>
    <w:rsid w:val="65744876"/>
    <w:rsid w:val="65772C72"/>
    <w:rsid w:val="657845AE"/>
    <w:rsid w:val="6579224B"/>
    <w:rsid w:val="657C58B7"/>
    <w:rsid w:val="65991D3E"/>
    <w:rsid w:val="659E280B"/>
    <w:rsid w:val="65B74A52"/>
    <w:rsid w:val="65BD55BD"/>
    <w:rsid w:val="65C53449"/>
    <w:rsid w:val="65F27286"/>
    <w:rsid w:val="65F938CF"/>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2321C"/>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82960"/>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70B4C"/>
    <w:rsid w:val="6BBD5024"/>
    <w:rsid w:val="6BF37DF1"/>
    <w:rsid w:val="6BF863D7"/>
    <w:rsid w:val="6C1D408F"/>
    <w:rsid w:val="6C2076DB"/>
    <w:rsid w:val="6C272818"/>
    <w:rsid w:val="6C343972"/>
    <w:rsid w:val="6C532986"/>
    <w:rsid w:val="6C5555D7"/>
    <w:rsid w:val="6C630CE9"/>
    <w:rsid w:val="6C6D2921"/>
    <w:rsid w:val="6C727F37"/>
    <w:rsid w:val="6C914CAA"/>
    <w:rsid w:val="6C9A6715"/>
    <w:rsid w:val="6CB46277"/>
    <w:rsid w:val="6CB56076"/>
    <w:rsid w:val="6CB57E24"/>
    <w:rsid w:val="6CCC3665"/>
    <w:rsid w:val="6CD34AAD"/>
    <w:rsid w:val="6CEC0F34"/>
    <w:rsid w:val="6CF73CA4"/>
    <w:rsid w:val="6D005FF7"/>
    <w:rsid w:val="6D021C57"/>
    <w:rsid w:val="6D05105B"/>
    <w:rsid w:val="6D1234C8"/>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04CD2"/>
    <w:rsid w:val="6DC237AE"/>
    <w:rsid w:val="6DD218A4"/>
    <w:rsid w:val="6DE07298"/>
    <w:rsid w:val="6DF1132F"/>
    <w:rsid w:val="6DF91502"/>
    <w:rsid w:val="6E011BB8"/>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6D4D19"/>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932BA"/>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208DF"/>
    <w:rsid w:val="72B50E3B"/>
    <w:rsid w:val="72CD2240"/>
    <w:rsid w:val="72DC19E2"/>
    <w:rsid w:val="72E871A5"/>
    <w:rsid w:val="72EC4E12"/>
    <w:rsid w:val="72F6484A"/>
    <w:rsid w:val="732B7092"/>
    <w:rsid w:val="73373DED"/>
    <w:rsid w:val="733817AF"/>
    <w:rsid w:val="73391B68"/>
    <w:rsid w:val="733F7A24"/>
    <w:rsid w:val="73420B47"/>
    <w:rsid w:val="735C44F0"/>
    <w:rsid w:val="736A01CD"/>
    <w:rsid w:val="736B4D35"/>
    <w:rsid w:val="73727E21"/>
    <w:rsid w:val="73741988"/>
    <w:rsid w:val="73814929"/>
    <w:rsid w:val="73841CD2"/>
    <w:rsid w:val="7393399F"/>
    <w:rsid w:val="73984022"/>
    <w:rsid w:val="73A00CA7"/>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99627D"/>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00BE7"/>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40D13"/>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65FE8"/>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45605"/>
    <w:rsid w:val="7CA33449"/>
    <w:rsid w:val="7CB93F8B"/>
    <w:rsid w:val="7CBF7B20"/>
    <w:rsid w:val="7CC876FF"/>
    <w:rsid w:val="7CCE4D69"/>
    <w:rsid w:val="7D050953"/>
    <w:rsid w:val="7D0A0BA4"/>
    <w:rsid w:val="7D107AF3"/>
    <w:rsid w:val="7D22044E"/>
    <w:rsid w:val="7D24527D"/>
    <w:rsid w:val="7D2E4CDC"/>
    <w:rsid w:val="7D3E3E65"/>
    <w:rsid w:val="7D4253C7"/>
    <w:rsid w:val="7D492008"/>
    <w:rsid w:val="7D4C5341"/>
    <w:rsid w:val="7D4E5EE6"/>
    <w:rsid w:val="7D5A0C9F"/>
    <w:rsid w:val="7D5F62B6"/>
    <w:rsid w:val="7D87580C"/>
    <w:rsid w:val="7D8901AD"/>
    <w:rsid w:val="7D8E577D"/>
    <w:rsid w:val="7D9A426A"/>
    <w:rsid w:val="7DD00A7F"/>
    <w:rsid w:val="7DE467BB"/>
    <w:rsid w:val="7DED3C92"/>
    <w:rsid w:val="7E006F08"/>
    <w:rsid w:val="7E01736D"/>
    <w:rsid w:val="7E333E03"/>
    <w:rsid w:val="7E391FE6"/>
    <w:rsid w:val="7E4436FD"/>
    <w:rsid w:val="7E916762"/>
    <w:rsid w:val="7E926217"/>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0"/>
    <w:qFormat/>
    <w:uiPriority w:val="0"/>
    <w:pPr>
      <w:snapToGrid w:val="0"/>
    </w:pPr>
    <w:rPr>
      <w:rFonts w:ascii="Arial" w:hAnsi="Arial"/>
    </w:rPr>
  </w:style>
  <w:style w:type="paragraph" w:styleId="10">
    <w:name w:val="Title"/>
    <w:basedOn w:val="1"/>
    <w:next w:val="1"/>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
    <w:unhideWhenUsed/>
    <w:qFormat/>
    <w:uiPriority w:val="99"/>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16908</Words>
  <Characters>18419</Characters>
  <Lines>0</Lines>
  <Paragraphs>0</Paragraphs>
  <TotalTime>3</TotalTime>
  <ScaleCrop>false</ScaleCrop>
  <LinksUpToDate>false</LinksUpToDate>
  <CharactersWithSpaces>19638</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2025-07-24T08:35:00Z</cp:lastPrinted>
  <dcterms:modified xsi:type="dcterms:W3CDTF">2025-07-25T09:09:28Z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96ABF835B4144713B4DF962B00C389ED_13</vt:lpwstr>
  </property>
  <property fmtid="{D5CDD505-2E9C-101B-9397-08002B2CF9AE}" pid="4" name="KSOTemplateDocerSaveRecord">
    <vt:lpwstr>eyJoZGlkIjoiYmY4MTkzYTk5NGMzNDM1NzJkMDQ1MjQ0OWE0ODJmNzAiLCJ1c2VySWQiOiIyMzY2MjU3NDcifQ==</vt:lpwstr>
  </property>
</Properties>
</file>