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309省道（原307亳州段）一级公路交安工程专项养护施工项目道路交通标志采购（二次）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AHTKJS-2025-48号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月1日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309省道（原307亳州段）一级公路交安工程专项养护施工项目道路交通标志采购（二次)</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仿宋_GB2312" w:hAnsi="仿宋_GB2312" w:eastAsia="仿宋_GB2312" w:cs="仿宋_GB2312"/>
          <w:b w:val="0"/>
          <w:bCs w:val="0"/>
          <w:sz w:val="28"/>
          <w:szCs w:val="28"/>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309省道（原307亳州段）一级公路交安工程专项养护施工项目道路交通标志采购(二次）</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AHTKJS-2025-48号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kern w:val="2"/>
          <w:sz w:val="28"/>
          <w:szCs w:val="28"/>
          <w:highlight w:val="none"/>
          <w:u w:val="single"/>
          <w:lang w:val="en-US" w:eastAsia="zh-CN"/>
        </w:rPr>
        <w:t>818000</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309省道（原307亳州段）一级公路交安工程专项养护施工项目采购内容如下：</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1.单个面积大于2㎡的</w:t>
      </w:r>
      <w:r>
        <w:rPr>
          <w:rFonts w:hint="eastAsia" w:asciiTheme="minorEastAsia" w:hAnsiTheme="minorEastAsia" w:cstheme="minorEastAsia"/>
          <w:sz w:val="28"/>
          <w:szCs w:val="28"/>
          <w:highlight w:val="none"/>
          <w:lang w:val="en-US" w:eastAsia="zh-CN"/>
        </w:rPr>
        <w:t>道路交通标志</w:t>
      </w:r>
      <w:r>
        <w:rPr>
          <w:rFonts w:hint="default" w:asciiTheme="minorEastAsia" w:hAnsiTheme="minorEastAsia" w:cstheme="minorEastAsia"/>
          <w:sz w:val="28"/>
          <w:szCs w:val="28"/>
          <w:highlight w:val="none"/>
          <w:lang w:val="en-US" w:eastAsia="zh-CN"/>
        </w:rPr>
        <w:t>V类反光膜</w:t>
      </w:r>
      <w:r>
        <w:rPr>
          <w:rFonts w:hint="eastAsia" w:asciiTheme="minorEastAsia" w:hAnsiTheme="minorEastAsia" w:cstheme="minorEastAsia"/>
          <w:sz w:val="28"/>
          <w:szCs w:val="28"/>
          <w:highlight w:val="none"/>
          <w:lang w:val="en-US" w:eastAsia="zh-CN"/>
        </w:rPr>
        <w:t>3</w:t>
      </w:r>
      <w:r>
        <w:rPr>
          <w:rFonts w:hint="default" w:asciiTheme="minorEastAsia" w:hAnsiTheme="minorEastAsia" w:cstheme="minorEastAsia"/>
          <w:sz w:val="28"/>
          <w:szCs w:val="28"/>
          <w:highlight w:val="none"/>
          <w:lang w:val="en-US" w:eastAsia="zh-CN"/>
        </w:rPr>
        <w:t>00㎡</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小于等于2㎡的</w:t>
      </w:r>
      <w:r>
        <w:rPr>
          <w:rFonts w:hint="eastAsia" w:asciiTheme="minorEastAsia" w:hAnsiTheme="minorEastAsia" w:cstheme="minorEastAsia"/>
          <w:sz w:val="28"/>
          <w:szCs w:val="28"/>
          <w:highlight w:val="none"/>
          <w:lang w:val="en-US" w:eastAsia="zh-CN"/>
        </w:rPr>
        <w:t>道路交通标志</w:t>
      </w:r>
      <w:r>
        <w:rPr>
          <w:rFonts w:hint="default" w:asciiTheme="minorEastAsia" w:hAnsiTheme="minorEastAsia" w:cstheme="minorEastAsia"/>
          <w:sz w:val="28"/>
          <w:szCs w:val="28"/>
          <w:highlight w:val="none"/>
          <w:lang w:val="en-US" w:eastAsia="zh-CN"/>
        </w:rPr>
        <w:t>V类反光膜</w:t>
      </w:r>
      <w:r>
        <w:rPr>
          <w:rFonts w:hint="eastAsia" w:asciiTheme="minorEastAsia" w:hAnsiTheme="minorEastAsia" w:cstheme="minorEastAsia"/>
          <w:sz w:val="28"/>
          <w:szCs w:val="28"/>
          <w:highlight w:val="none"/>
          <w:lang w:val="en-US" w:eastAsia="zh-CN"/>
        </w:rPr>
        <w:t>8</w:t>
      </w:r>
      <w:r>
        <w:rPr>
          <w:rFonts w:hint="default" w:asciiTheme="minorEastAsia" w:hAnsiTheme="minorEastAsia" w:cstheme="minorEastAsia"/>
          <w:sz w:val="28"/>
          <w:szCs w:val="28"/>
          <w:highlight w:val="none"/>
          <w:lang w:val="en-US" w:eastAsia="zh-CN"/>
        </w:rPr>
        <w:t>00㎡</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包含底膜和字膜</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按</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方要求加工成相应规格尺寸</w:t>
      </w:r>
      <w:r>
        <w:rPr>
          <w:rFonts w:hint="eastAsia" w:asciiTheme="minorEastAsia" w:hAnsiTheme="minorEastAsia" w:cstheme="minorEastAsia"/>
          <w:sz w:val="28"/>
          <w:szCs w:val="28"/>
          <w:highlight w:val="none"/>
          <w:lang w:val="en-US" w:eastAsia="zh-CN"/>
        </w:rPr>
        <w:t>的成品</w:t>
      </w:r>
      <w:r>
        <w:rPr>
          <w:rFonts w:hint="default" w:asciiTheme="minorEastAsia" w:hAnsiTheme="minorEastAsia" w:cstheme="minorEastAsia"/>
          <w:sz w:val="28"/>
          <w:szCs w:val="28"/>
          <w:highlight w:val="none"/>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default" w:asciiTheme="minorEastAsia" w:hAnsiTheme="minorEastAsia" w:cstheme="minorEastAsia"/>
          <w:sz w:val="28"/>
          <w:szCs w:val="28"/>
          <w:highlight w:val="none"/>
          <w:lang w:val="en-US" w:eastAsia="zh-CN"/>
        </w:rPr>
        <w:t>.单个面积大于2㎡的</w:t>
      </w:r>
      <w:r>
        <w:rPr>
          <w:rFonts w:hint="eastAsia" w:asciiTheme="minorEastAsia" w:hAnsiTheme="minorEastAsia" w:cstheme="minorEastAsia"/>
          <w:sz w:val="28"/>
          <w:szCs w:val="28"/>
          <w:highlight w:val="none"/>
          <w:lang w:val="en-US" w:eastAsia="zh-CN"/>
        </w:rPr>
        <w:t>道路交通标志200</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（铝板3.0mm厚度）；</w:t>
      </w:r>
      <w:r>
        <w:rPr>
          <w:rFonts w:hint="default" w:asciiTheme="minorEastAsia" w:hAnsiTheme="minorEastAsia" w:cstheme="minorEastAsia"/>
          <w:sz w:val="28"/>
          <w:szCs w:val="28"/>
          <w:highlight w:val="none"/>
          <w:lang w:val="en-US" w:eastAsia="zh-CN"/>
        </w:rPr>
        <w:t>小于等于2㎡的</w:t>
      </w:r>
      <w:r>
        <w:rPr>
          <w:rFonts w:hint="eastAsia" w:asciiTheme="minorEastAsia" w:hAnsiTheme="minorEastAsia" w:cstheme="minorEastAsia"/>
          <w:sz w:val="28"/>
          <w:szCs w:val="28"/>
          <w:highlight w:val="none"/>
          <w:lang w:val="en-US" w:eastAsia="zh-CN"/>
        </w:rPr>
        <w:t>道路交通标志300</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（铝板2.35mm厚度）。包含</w:t>
      </w:r>
      <w:r>
        <w:rPr>
          <w:rFonts w:hint="default" w:asciiTheme="minorEastAsia" w:hAnsiTheme="minorEastAsia" w:cstheme="minorEastAsia"/>
          <w:sz w:val="28"/>
          <w:szCs w:val="28"/>
          <w:highlight w:val="none"/>
          <w:lang w:val="en-US" w:eastAsia="zh-CN"/>
        </w:rPr>
        <w:t>LFM-2铝合金</w:t>
      </w:r>
      <w:r>
        <w:rPr>
          <w:rFonts w:hint="eastAsia" w:asciiTheme="minorEastAsia" w:hAnsiTheme="minorEastAsia" w:cstheme="minorEastAsia"/>
          <w:sz w:val="28"/>
          <w:szCs w:val="28"/>
          <w:highlight w:val="none"/>
          <w:lang w:val="en-US" w:eastAsia="zh-CN"/>
        </w:rPr>
        <w:t>原材料、铝板</w:t>
      </w:r>
      <w:r>
        <w:rPr>
          <w:rFonts w:hint="default" w:asciiTheme="minorEastAsia" w:hAnsiTheme="minorEastAsia" w:cstheme="minorEastAsia"/>
          <w:sz w:val="28"/>
          <w:szCs w:val="28"/>
          <w:highlight w:val="none"/>
          <w:lang w:val="en-US" w:eastAsia="zh-CN"/>
        </w:rPr>
        <w:t>制作</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铝槽、V类反光膜</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抱箍、</w:t>
      </w:r>
      <w:r>
        <w:rPr>
          <w:rFonts w:hint="eastAsia" w:asciiTheme="minorEastAsia" w:hAnsiTheme="minorEastAsia" w:cstheme="minorEastAsia"/>
          <w:sz w:val="28"/>
          <w:szCs w:val="28"/>
          <w:highlight w:val="none"/>
          <w:lang w:val="en-US" w:eastAsia="zh-CN"/>
        </w:rPr>
        <w:t>加固螺栓等。</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3.其他型号</w:t>
      </w:r>
      <w:r>
        <w:rPr>
          <w:rFonts w:hint="default" w:asciiTheme="minorEastAsia" w:hAnsiTheme="minorEastAsia" w:cstheme="minorEastAsia"/>
          <w:sz w:val="28"/>
          <w:szCs w:val="28"/>
          <w:highlight w:val="none"/>
          <w:lang w:val="en-US" w:eastAsia="zh-CN"/>
        </w:rPr>
        <w:t>V类</w:t>
      </w:r>
      <w:r>
        <w:rPr>
          <w:rFonts w:hint="eastAsia" w:asciiTheme="minorEastAsia" w:hAnsiTheme="minorEastAsia" w:cstheme="minorEastAsia"/>
          <w:sz w:val="28"/>
          <w:szCs w:val="28"/>
          <w:highlight w:val="none"/>
          <w:lang w:val="en-US" w:eastAsia="zh-CN"/>
        </w:rPr>
        <w:t>反光膜500</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（黄黑间隔立面标记或护栏端头膜、红白间隔防撞桶外贴膜、反光锥等，具体根据采购人要求类型和尺寸等要求进行供货）。</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上述</w:t>
      </w:r>
      <w:r>
        <w:rPr>
          <w:rFonts w:hint="eastAsia" w:asciiTheme="minorEastAsia" w:hAnsiTheme="minorEastAsia" w:cstheme="minorEastAsia"/>
          <w:sz w:val="28"/>
          <w:szCs w:val="28"/>
          <w:highlight w:val="none"/>
          <w:lang w:val="en-US" w:eastAsia="zh-CN"/>
        </w:rPr>
        <w:t>采购数量包括但不限于原材料、制作费用、零配件、装卸车、运费、税费等所有费用</w:t>
      </w:r>
      <w:r>
        <w:rPr>
          <w:rFonts w:hint="default" w:asciiTheme="minorEastAsia" w:hAnsiTheme="minorEastAsia" w:cstheme="minorEastAsia"/>
          <w:sz w:val="28"/>
          <w:szCs w:val="28"/>
          <w:highlight w:val="none"/>
          <w:lang w:val="en-US" w:eastAsia="zh-CN"/>
        </w:rPr>
        <w:t>，同时上述采购产品为制作成型后的成品，采购产品数量为暂定数量，具体数量以实际使用数量为准，据实结算。</w:t>
      </w:r>
    </w:p>
    <w:permEnd w:id="9"/>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供货期：自合同签订之日起2年；交货期：自采购人发出交货指令起7日内完成交货。</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w:t>
      </w:r>
      <w:r>
        <w:rPr>
          <w:rFonts w:hint="eastAsia" w:asciiTheme="minorEastAsia" w:hAnsiTheme="minorEastAsia" w:eastAsiaTheme="minorEastAsia" w:cstheme="minorEastAsia"/>
          <w:sz w:val="28"/>
          <w:szCs w:val="28"/>
          <w:highlight w:val="none"/>
          <w:lang w:val="en-US" w:eastAsia="zh-CN"/>
        </w:rPr>
        <w:t>点</w:t>
      </w:r>
      <w:permStart w:id="11"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w:t>
      </w:r>
      <w:r>
        <w:rPr>
          <w:rFonts w:hint="eastAsia" w:asciiTheme="minorEastAsia" w:hAnsiTheme="minorEastAsia" w:cstheme="minorEastAsia"/>
          <w:kern w:val="2"/>
          <w:sz w:val="28"/>
          <w:szCs w:val="28"/>
          <w:highlight w:val="none"/>
          <w:lang w:val="en-US" w:eastAsia="zh-CN"/>
        </w:rPr>
        <w:t>。</w:t>
      </w:r>
    </w:p>
    <w:permEnd w:id="11"/>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eastAsiaTheme="minorEastAsia" w:cstheme="minorEastAsia"/>
          <w:kern w:val="2"/>
          <w:sz w:val="28"/>
          <w:szCs w:val="28"/>
          <w:highlight w:val="none"/>
          <w:lang w:val="en-US" w:eastAsia="zh-CN" w:bidi="ar-SA"/>
        </w:rPr>
        <w:t>并符合</w:t>
      </w:r>
      <w:r>
        <w:rPr>
          <w:rFonts w:hint="default" w:asciiTheme="minorEastAsia" w:hAnsiTheme="minorEastAsia" w:eastAsiaTheme="minorEastAsia" w:cstheme="minorEastAsia"/>
          <w:kern w:val="2"/>
          <w:sz w:val="28"/>
          <w:szCs w:val="28"/>
          <w:highlight w:val="none"/>
          <w:lang w:val="en-US" w:eastAsia="zh-CN" w:bidi="ar-SA"/>
        </w:rPr>
        <w:t>道路交通反光膜 (GB/T1883-2012) 的规定</w:t>
      </w:r>
      <w:r>
        <w:rPr>
          <w:rFonts w:hint="eastAsia" w:asciiTheme="minorEastAsia" w:hAnsiTheme="minorEastAsia" w:cstheme="minorEastAsia"/>
          <w:kern w:val="2"/>
          <w:sz w:val="28"/>
          <w:szCs w:val="28"/>
          <w:highlight w:val="none"/>
          <w:lang w:val="en-US" w:eastAsia="zh-CN" w:bidi="ar-SA"/>
        </w:rPr>
        <w:t>，</w:t>
      </w:r>
      <w:r>
        <w:rPr>
          <w:rFonts w:hint="default" w:asciiTheme="minorEastAsia" w:hAnsiTheme="minorEastAsia" w:eastAsiaTheme="minorEastAsia" w:cstheme="minorEastAsia"/>
          <w:kern w:val="2"/>
          <w:sz w:val="28"/>
          <w:szCs w:val="28"/>
          <w:highlight w:val="none"/>
          <w:lang w:val="en-US" w:eastAsia="zh-CN" w:bidi="ar-SA"/>
        </w:rPr>
        <w:t>指路标志牌字膜和底膜微棱镜结构二级膜IV类(超强级)，禁令和警告标志图案和底膜同为一级膜V类(满足大角度反光要求 )。</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具有独立法人资格，并在人员、材料、资金等方面具有承担本项目供货的能力；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 202</w:t>
      </w: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年至今企业类似项目业绩 1个，合同金额不低于</w:t>
      </w:r>
      <w:r>
        <w:rPr>
          <w:rFonts w:hint="eastAsia" w:asciiTheme="minorEastAsia" w:hAnsiTheme="minorEastAsia" w:cstheme="minorEastAsia"/>
          <w:kern w:val="2"/>
          <w:sz w:val="28"/>
          <w:szCs w:val="28"/>
          <w:highlight w:val="none"/>
          <w:lang w:val="en-US" w:eastAsia="zh-CN"/>
        </w:rPr>
        <w:t>50</w:t>
      </w:r>
      <w:r>
        <w:rPr>
          <w:rFonts w:hint="eastAsia" w:asciiTheme="minorEastAsia" w:hAnsiTheme="minorEastAsia" w:eastAsiaTheme="minorEastAsia" w:cstheme="minorEastAsia"/>
          <w:kern w:val="2"/>
          <w:sz w:val="28"/>
          <w:szCs w:val="28"/>
          <w:highlight w:val="none"/>
          <w:lang w:val="en-US" w:eastAsia="zh-CN"/>
        </w:rPr>
        <w:t>万元，以合同签订时间为准。类似项目业绩指：</w:t>
      </w:r>
      <w:r>
        <w:rPr>
          <w:rFonts w:hint="eastAsia" w:asciiTheme="minorEastAsia" w:hAnsiTheme="minorEastAsia" w:cstheme="minorEastAsia"/>
          <w:kern w:val="2"/>
          <w:sz w:val="28"/>
          <w:szCs w:val="28"/>
          <w:highlight w:val="none"/>
          <w:lang w:val="en-US" w:eastAsia="zh-CN"/>
        </w:rPr>
        <w:t>合同金额不低于50万元的标志牌反光膜销售业绩</w:t>
      </w:r>
      <w:r>
        <w:rPr>
          <w:rFonts w:hint="eastAsia"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lang w:val="en-US" w:eastAsia="zh-CN"/>
        </w:rPr>
      </w:pPr>
      <w:r>
        <w:rPr>
          <w:rFonts w:hint="default" w:asciiTheme="minorEastAsia" w:hAnsiTheme="minorEastAsia" w:eastAsiaTheme="minorEastAsia" w:cstheme="minorEastAsia"/>
          <w:sz w:val="28"/>
          <w:szCs w:val="28"/>
          <w:highlight w:val="none"/>
          <w:lang w:val="en-US" w:eastAsia="zh-CN"/>
        </w:rPr>
        <w:t>注：</w:t>
      </w:r>
      <w:permStart w:id="13"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permEnd w:id="13"/>
      <w:r>
        <w:rPr>
          <w:rFonts w:hint="default"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6"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6"/>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王经理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日</w:t>
      </w:r>
    </w:p>
    <w:permEnd w:id="20"/>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b/>
                <w:bCs/>
                <w:color w:val="FF0000"/>
                <w:szCs w:val="21"/>
                <w:highlight w:val="none"/>
              </w:rPr>
              <w:t>银行汇款或转账</w:t>
            </w:r>
            <w:permEnd w:id="27"/>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8" w:edGrp="everyone"/>
            <w:r>
              <w:rPr>
                <w:rFonts w:hint="eastAsia" w:ascii="Times New Roman" w:hAnsi="Times New Roman" w:cs="Times New Roman"/>
                <w:b/>
                <w:bCs/>
                <w:color w:val="FF0000"/>
                <w:szCs w:val="21"/>
                <w:highlight w:val="none"/>
                <w:u w:val="single"/>
                <w:lang w:val="en-US" w:eastAsia="zh-CN"/>
              </w:rPr>
              <w:t>16000元</w:t>
            </w:r>
            <w:permEnd w:id="2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b/>
                <w:bCs/>
                <w:color w:val="FF0000"/>
                <w:szCs w:val="21"/>
                <w:highlight w:val="none"/>
                <w:lang w:val="en-US" w:eastAsia="zh-CN"/>
              </w:rPr>
              <w:t>AHTKJS-2025-48号保证金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开启地址：安徽通康建设工程有限公司2楼开标室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309省道（原307亳州段）一级公路交安工程专项养护施工项目道路交通标志采购（二次）</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项目编号：AHTKJS-2025-48号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4" w:name="_GoBack"/>
            <w:bookmarkEnd w:id="324"/>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FF0000"/>
                <w:szCs w:val="21"/>
                <w:highlight w:val="none"/>
                <w:u w:val="single"/>
                <w:lang w:val="en-US" w:eastAsia="zh-CN"/>
              </w:rPr>
              <w:t xml:space="preserve"> 安徽通康建设工程有限公司3楼法务部（谯城区甘菊路与神农大道交叉口西180米易而购超市西侧办公楼3楼）；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bookmarkStart w:id="0" w:name="OLE_LINK1"/>
            <w:r>
              <w:rPr>
                <w:rFonts w:hint="default" w:ascii="Times New Roman" w:hAnsi="Times New Roman" w:cs="Times New Roman"/>
                <w:szCs w:val="21"/>
                <w:highlight w:val="none"/>
              </w:rPr>
              <w:t>履约担保的形式：</w:t>
            </w:r>
            <w:permStart w:id="3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6"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7"/>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52042308"/>
      <w:bookmarkStart w:id="2" w:name="_Toc246996178"/>
      <w:bookmarkStart w:id="3" w:name="_Toc247085692"/>
      <w:bookmarkStart w:id="4" w:name="_Toc179632549"/>
      <w:bookmarkStart w:id="5" w:name="_Toc152045532"/>
      <w:bookmarkStart w:id="6" w:name="_Toc246996921"/>
      <w:bookmarkStart w:id="7" w:name="_Toc144974500"/>
      <w:bookmarkStart w:id="8" w:name="_Toc296602423"/>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246996924"/>
      <w:bookmarkStart w:id="10" w:name="_Toc152045536"/>
      <w:bookmarkStart w:id="11" w:name="_Toc296602426"/>
      <w:bookmarkStart w:id="12" w:name="_Toc179632553"/>
      <w:bookmarkStart w:id="13" w:name="_Toc152042312"/>
      <w:bookmarkStart w:id="14" w:name="_Toc144974504"/>
      <w:bookmarkStart w:id="15" w:name="_Toc246996181"/>
      <w:bookmarkStart w:id="16" w:name="_Toc247085695"/>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152045537"/>
      <w:bookmarkStart w:id="19" w:name="_Toc246996925"/>
      <w:bookmarkStart w:id="20" w:name="_Toc246996182"/>
      <w:bookmarkStart w:id="21" w:name="_Toc152042313"/>
      <w:bookmarkStart w:id="22" w:name="_Toc179632554"/>
      <w:bookmarkStart w:id="23" w:name="_Toc247085696"/>
      <w:bookmarkStart w:id="24" w:name="_Toc296602427"/>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246996926"/>
      <w:bookmarkStart w:id="26" w:name="_Toc152042314"/>
      <w:bookmarkStart w:id="27" w:name="_Toc152045538"/>
      <w:bookmarkStart w:id="28" w:name="_Toc144974506"/>
      <w:bookmarkStart w:id="29" w:name="_Toc246996183"/>
      <w:bookmarkStart w:id="30" w:name="_Toc247085697"/>
      <w:bookmarkStart w:id="31"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32"/>
      <w:bookmarkStart w:id="33" w:name="_Toc247085701"/>
      <w:bookmarkStart w:id="34" w:name="_Toc246996187"/>
      <w:bookmarkStart w:id="35" w:name="_Toc246996930"/>
      <w:bookmarkStart w:id="36" w:name="_Toc144974510"/>
      <w:bookmarkStart w:id="37" w:name="_Toc179632560"/>
      <w:bookmarkStart w:id="38" w:name="_Toc152042318"/>
      <w:bookmarkStart w:id="39" w:name="_Toc152045542"/>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246996188"/>
      <w:bookmarkStart w:id="41" w:name="_Toc247085702"/>
      <w:bookmarkStart w:id="42" w:name="_Toc296602433"/>
      <w:bookmarkStart w:id="43" w:name="_Toc179632561"/>
      <w:bookmarkStart w:id="44" w:name="_Toc144974511"/>
      <w:bookmarkStart w:id="45" w:name="_Toc152045543"/>
      <w:bookmarkStart w:id="46" w:name="_Toc152042319"/>
      <w:bookmarkStart w:id="47" w:name="_Toc246996931"/>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32"/>
      <w:bookmarkStart w:id="49" w:name="_Toc247085703"/>
      <w:bookmarkStart w:id="50" w:name="_Toc152042320"/>
      <w:bookmarkStart w:id="51" w:name="_Toc246996189"/>
      <w:bookmarkStart w:id="52" w:name="_Toc144974512"/>
      <w:bookmarkStart w:id="53" w:name="_Toc179632562"/>
      <w:bookmarkStart w:id="54" w:name="_Toc296602434"/>
      <w:bookmarkStart w:id="55" w:name="_Toc152045544"/>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63"/>
      <w:bookmarkStart w:id="57" w:name="_Toc246996190"/>
      <w:bookmarkStart w:id="58" w:name="_Toc144974513"/>
      <w:bookmarkStart w:id="59" w:name="_Toc152045545"/>
      <w:bookmarkStart w:id="60" w:name="_Toc247085704"/>
      <w:bookmarkStart w:id="61" w:name="_Toc246996933"/>
      <w:bookmarkStart w:id="62" w:name="_Toc152042321"/>
      <w:bookmarkStart w:id="63" w:name="_Toc296602435"/>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247085705"/>
      <w:bookmarkStart w:id="65" w:name="_Toc246996191"/>
      <w:bookmarkStart w:id="66" w:name="_Toc144974514"/>
      <w:bookmarkStart w:id="67" w:name="_Toc152042322"/>
      <w:bookmarkStart w:id="68" w:name="_Toc246996934"/>
      <w:bookmarkStart w:id="69" w:name="_Toc152045546"/>
      <w:bookmarkStart w:id="70" w:name="_Toc179632564"/>
      <w:bookmarkStart w:id="71" w:name="_Toc29660243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144974515"/>
      <w:bookmarkStart w:id="73" w:name="_Toc152045547"/>
      <w:bookmarkStart w:id="74" w:name="_Toc179632565"/>
      <w:bookmarkStart w:id="75" w:name="_Toc246996192"/>
      <w:bookmarkStart w:id="76" w:name="_Toc152042323"/>
      <w:bookmarkStart w:id="77" w:name="_Toc296602437"/>
      <w:bookmarkStart w:id="78" w:name="_Toc247085706"/>
      <w:bookmarkStart w:id="79"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152045548"/>
      <w:bookmarkStart w:id="81" w:name="_Toc246996193"/>
      <w:bookmarkStart w:id="82" w:name="_Toc247085707"/>
      <w:bookmarkStart w:id="83" w:name="_Toc246996936"/>
      <w:bookmarkStart w:id="84" w:name="_Toc179632566"/>
      <w:bookmarkStart w:id="85" w:name="_Toc296602438"/>
      <w:bookmarkStart w:id="86" w:name="_Toc152042324"/>
      <w:bookmarkStart w:id="87" w:name="_Toc144974516"/>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52042325"/>
      <w:bookmarkStart w:id="89" w:name="_Toc152045549"/>
      <w:bookmarkStart w:id="90" w:name="_Toc144974517"/>
      <w:bookmarkStart w:id="91"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7085708"/>
      <w:bookmarkStart w:id="93" w:name="_Toc246996194"/>
      <w:bookmarkStart w:id="94" w:name="_Toc296602439"/>
      <w:bookmarkStart w:id="95" w:name="_Toc246996937"/>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144974523"/>
      <w:bookmarkStart w:id="97" w:name="_Toc246996199"/>
      <w:bookmarkStart w:id="98" w:name="_Toc247085713"/>
      <w:bookmarkStart w:id="99" w:name="_Toc179632573"/>
      <w:bookmarkStart w:id="100" w:name="_Toc152042331"/>
      <w:bookmarkStart w:id="101" w:name="_Toc152045555"/>
      <w:bookmarkStart w:id="102" w:name="_Toc296602443"/>
      <w:bookmarkStart w:id="103" w:name="_Toc246996942"/>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246996943"/>
      <w:bookmarkStart w:id="105" w:name="_Toc152045556"/>
      <w:bookmarkStart w:id="106" w:name="_Toc144974524"/>
      <w:bookmarkStart w:id="107" w:name="_Toc296602444"/>
      <w:bookmarkStart w:id="108" w:name="_Toc152042332"/>
      <w:bookmarkStart w:id="109" w:name="_Toc179632574"/>
      <w:bookmarkStart w:id="110" w:name="_Toc246996200"/>
      <w:bookmarkStart w:id="111" w:name="_Toc24708571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44974525"/>
      <w:bookmarkStart w:id="113" w:name="_Toc152045557"/>
      <w:bookmarkStart w:id="114" w:name="_Toc152042333"/>
      <w:bookmarkStart w:id="115" w:name="_Toc247085715"/>
      <w:bookmarkStart w:id="116" w:name="_Toc179632575"/>
      <w:bookmarkStart w:id="117" w:name="_Toc246996201"/>
      <w:bookmarkStart w:id="118"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46"/>
      <w:bookmarkStart w:id="120" w:name="_Toc144974526"/>
      <w:bookmarkStart w:id="121" w:name="_Toc152045558"/>
      <w:bookmarkStart w:id="122" w:name="_Toc246996202"/>
      <w:bookmarkStart w:id="123" w:name="_Toc247085716"/>
      <w:bookmarkStart w:id="124" w:name="_Toc179632576"/>
      <w:bookmarkStart w:id="125" w:name="_Toc152042334"/>
      <w:bookmarkStart w:id="126" w:name="_Toc246996945"/>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246996203"/>
      <w:bookmarkStart w:id="128" w:name="_Toc247085717"/>
      <w:bookmarkStart w:id="129" w:name="_Toc152045559"/>
      <w:bookmarkStart w:id="130" w:name="_Toc144974527"/>
      <w:bookmarkStart w:id="131" w:name="_Toc246996946"/>
      <w:bookmarkStart w:id="132" w:name="_Toc179632577"/>
      <w:bookmarkStart w:id="133" w:name="_Toc296602447"/>
      <w:bookmarkStart w:id="134" w:name="_Toc152042335"/>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28"/>
      <w:bookmarkStart w:id="136" w:name="_Toc246996947"/>
      <w:bookmarkStart w:id="137" w:name="_Toc296602448"/>
      <w:bookmarkStart w:id="138" w:name="_Toc179632578"/>
      <w:bookmarkStart w:id="139" w:name="_Toc247085718"/>
      <w:bookmarkStart w:id="140" w:name="_Toc152045560"/>
      <w:bookmarkStart w:id="141" w:name="_Toc246996204"/>
      <w:bookmarkStart w:id="142"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61"/>
      <w:bookmarkStart w:id="144" w:name="_Toc144974529"/>
      <w:bookmarkStart w:id="145" w:name="_Toc152042337"/>
      <w:bookmarkStart w:id="146" w:name="_Toc247085719"/>
      <w:bookmarkStart w:id="147" w:name="_Toc296602449"/>
      <w:bookmarkStart w:id="148" w:name="_Toc246996205"/>
      <w:bookmarkStart w:id="149" w:name="_Toc246996948"/>
      <w:bookmarkStart w:id="150" w:name="_Toc179632579"/>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46996950"/>
      <w:bookmarkStart w:id="152" w:name="_Toc152042339"/>
      <w:bookmarkStart w:id="153" w:name="_Toc296602452"/>
      <w:bookmarkStart w:id="154" w:name="_Toc247085721"/>
      <w:bookmarkStart w:id="155" w:name="_Toc179632581"/>
      <w:bookmarkStart w:id="156" w:name="_Toc144974531"/>
      <w:bookmarkStart w:id="157" w:name="_Toc246996207"/>
      <w:bookmarkStart w:id="158" w:name="_Toc152045563"/>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152042342"/>
      <w:bookmarkStart w:id="160" w:name="_Toc246996210"/>
      <w:bookmarkStart w:id="161" w:name="_Toc246996953"/>
      <w:bookmarkStart w:id="162" w:name="_Toc152045566"/>
      <w:bookmarkStart w:id="163" w:name="_Toc144974534"/>
      <w:bookmarkStart w:id="164" w:name="_Toc247085724"/>
      <w:bookmarkStart w:id="165" w:name="_Toc179632584"/>
      <w:bookmarkStart w:id="166" w:name="_Toc296602455"/>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35"/>
      <w:bookmarkStart w:id="168" w:name="_Toc179632585"/>
      <w:bookmarkStart w:id="169" w:name="_Toc246996954"/>
      <w:bookmarkStart w:id="170" w:name="_Toc152042343"/>
      <w:bookmarkStart w:id="171" w:name="_Toc246996211"/>
      <w:bookmarkStart w:id="172" w:name="_Toc152045567"/>
      <w:bookmarkStart w:id="173" w:name="_Toc247085725"/>
      <w:bookmarkStart w:id="174" w:name="_Toc296602456"/>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144974536"/>
      <w:bookmarkStart w:id="177" w:name="_Toc296602458"/>
      <w:bookmarkStart w:id="178" w:name="_Toc152045568"/>
      <w:bookmarkStart w:id="179" w:name="_Toc247085726"/>
      <w:bookmarkStart w:id="180" w:name="_Toc152042344"/>
      <w:bookmarkStart w:id="181" w:name="_Toc246996212"/>
      <w:bookmarkStart w:id="182" w:name="_Toc246996955"/>
      <w:bookmarkStart w:id="183" w:name="_Toc179632586"/>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179632587"/>
      <w:bookmarkStart w:id="185" w:name="_Toc152042345"/>
      <w:bookmarkStart w:id="186" w:name="_Toc152045569"/>
      <w:bookmarkStart w:id="187" w:name="_Toc144974537"/>
      <w:bookmarkStart w:id="188" w:name="_Toc246996213"/>
      <w:bookmarkStart w:id="189" w:name="_Toc296602459"/>
      <w:bookmarkStart w:id="190" w:name="_Toc246996956"/>
      <w:bookmarkStart w:id="191" w:name="_Toc247085727"/>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179632593"/>
      <w:bookmarkStart w:id="194" w:name="_Toc144974543"/>
      <w:bookmarkStart w:id="195" w:name="_Toc246996219"/>
      <w:bookmarkStart w:id="196" w:name="_Toc247085733"/>
      <w:bookmarkStart w:id="197" w:name="_Toc296590983"/>
      <w:bookmarkStart w:id="198" w:name="_Toc152045575"/>
      <w:bookmarkStart w:id="199" w:name="_Toc246996962"/>
      <w:bookmarkStart w:id="200" w:name="_Toc152042351"/>
      <w:bookmarkStart w:id="201" w:name="_Toc296602462"/>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2" w:name="_Toc246996220"/>
      <w:bookmarkStart w:id="203" w:name="_Toc246996963"/>
      <w:bookmarkStart w:id="204" w:name="_Toc152042352"/>
      <w:bookmarkStart w:id="205" w:name="_Toc179632594"/>
      <w:bookmarkStart w:id="206" w:name="_Toc296602463"/>
      <w:bookmarkStart w:id="207" w:name="_Toc144974544"/>
      <w:bookmarkStart w:id="208" w:name="_Toc152045576"/>
      <w:bookmarkStart w:id="209" w:name="_Toc247085734"/>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144974545"/>
      <w:bookmarkStart w:id="211" w:name="_Toc296602464"/>
      <w:bookmarkStart w:id="212" w:name="_Toc246996964"/>
      <w:bookmarkStart w:id="213" w:name="_Toc246996221"/>
      <w:bookmarkStart w:id="214" w:name="_Toc247085735"/>
      <w:bookmarkStart w:id="215" w:name="_Toc179632595"/>
      <w:bookmarkStart w:id="216" w:name="_Toc152042353"/>
      <w:bookmarkStart w:id="217" w:name="_Toc152045577"/>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179632607"/>
            <w:bookmarkStart w:id="219" w:name="_Toc152042366"/>
            <w:bookmarkStart w:id="220" w:name="_Toc296602477"/>
            <w:bookmarkStart w:id="221" w:name="_Toc152045589"/>
            <w:bookmarkStart w:id="222" w:name="_Toc247085747"/>
            <w:bookmarkStart w:id="223" w:name="_Toc144974556"/>
            <w:bookmarkStart w:id="224" w:name="_Toc246996975"/>
            <w:bookmarkStart w:id="225"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6" w:name="_Toc179632611"/>
      <w:bookmarkStart w:id="227" w:name="_Toc144974560"/>
      <w:bookmarkStart w:id="228" w:name="_Toc247085751"/>
      <w:bookmarkStart w:id="229" w:name="_Toc152042370"/>
      <w:bookmarkStart w:id="230" w:name="_Toc296602481"/>
      <w:bookmarkStart w:id="231" w:name="_Toc152045593"/>
      <w:bookmarkStart w:id="232" w:name="_Toc246996979"/>
      <w:bookmarkStart w:id="233" w:name="_Toc246996236"/>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296602484"/>
      <w:bookmarkStart w:id="236" w:name="_Toc152045596"/>
      <w:bookmarkStart w:id="237" w:name="_Toc246996239"/>
      <w:bookmarkStart w:id="238" w:name="_Toc247085754"/>
      <w:bookmarkStart w:id="239" w:name="_Toc179632614"/>
      <w:bookmarkStart w:id="240" w:name="_Toc152042373"/>
      <w:bookmarkStart w:id="241"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货物到场并经采购人验收合格后，按月办理材料对账单并于次月向成交人支付上月已供合格货物价款的80%，待交工验收完成后30个工作日内，采购人向成交人付至全部合格货物价款的97%，余款3%作为质保金，待质保期满且无质量问题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自交工验收合格之日起1年。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pPr>
        <w:pStyle w:val="2"/>
        <w:numPr>
          <w:ilvl w:val="0"/>
          <w:numId w:val="0"/>
        </w:numPr>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1.采购清单：</w:t>
      </w:r>
    </w:p>
    <w:tbl>
      <w:tblPr>
        <w:tblStyle w:val="20"/>
        <w:tblpPr w:leftFromText="180" w:rightFromText="180" w:vertAnchor="text" w:horzAnchor="page" w:tblpX="1912"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348"/>
        <w:gridCol w:w="1066"/>
        <w:gridCol w:w="940"/>
        <w:gridCol w:w="1020"/>
        <w:gridCol w:w="650"/>
        <w:gridCol w:w="1383"/>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0" w:type="auto"/>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0" w:type="auto"/>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材料名称</w:t>
            </w:r>
          </w:p>
        </w:tc>
        <w:tc>
          <w:tcPr>
            <w:tcW w:w="1066"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单价 （不含税，元/㎡）</w:t>
            </w:r>
          </w:p>
        </w:tc>
        <w:tc>
          <w:tcPr>
            <w:tcW w:w="940"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面积（㎡）</w:t>
            </w:r>
          </w:p>
        </w:tc>
        <w:tc>
          <w:tcPr>
            <w:tcW w:w="1020"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总价（元</w:t>
            </w:r>
          </w:p>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不含税）</w:t>
            </w:r>
          </w:p>
        </w:tc>
        <w:tc>
          <w:tcPr>
            <w:tcW w:w="650"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税率</w:t>
            </w:r>
          </w:p>
        </w:tc>
        <w:tc>
          <w:tcPr>
            <w:tcW w:w="1383"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总价（元</w:t>
            </w:r>
          </w:p>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含税）</w:t>
            </w:r>
          </w:p>
        </w:tc>
        <w:tc>
          <w:tcPr>
            <w:tcW w:w="1584"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2㎡以上V类反光膜</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restart"/>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底膜和字膜，按采购人要求加工成相应规格尺寸的成品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2㎡以下V类反光膜</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continue"/>
            <w:noWrap w:val="0"/>
            <w:vAlign w:val="center"/>
          </w:tcPr>
          <w:p>
            <w:pPr>
              <w:bidi w:val="0"/>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2㎡以上道路交通标志</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restart"/>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包含LFM-2铝合金原材料、铝板制作、铝槽、V类反光膜、抱箍、加固螺栓等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2㎡以下道路交通标志</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continue"/>
            <w:noWrap w:val="0"/>
            <w:vAlign w:val="center"/>
          </w:tcPr>
          <w:p>
            <w:pPr>
              <w:bidi w:val="0"/>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V类反光膜</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noWrap w:val="0"/>
            <w:vAlign w:val="center"/>
          </w:tcPr>
          <w:p>
            <w:pPr>
              <w:bidi w:val="0"/>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3354" w:type="dxa"/>
            <w:gridSpan w:val="3"/>
            <w:noWrap w:val="0"/>
            <w:vAlign w:val="center"/>
          </w:tcPr>
          <w:p>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合计</w:t>
            </w:r>
          </w:p>
        </w:tc>
        <w:tc>
          <w:tcPr>
            <w:tcW w:w="1020" w:type="dxa"/>
            <w:noWrap w:val="0"/>
            <w:vAlign w:val="center"/>
          </w:tcPr>
          <w:p>
            <w:pPr>
              <w:bidi w:val="0"/>
              <w:rPr>
                <w:rFonts w:hint="eastAsia" w:ascii="宋体" w:hAnsi="宋体" w:eastAsia="宋体" w:cs="宋体"/>
                <w:sz w:val="21"/>
                <w:szCs w:val="21"/>
                <w:lang w:val="en-US" w:eastAsia="zh-CN"/>
              </w:rPr>
            </w:pPr>
          </w:p>
        </w:tc>
        <w:tc>
          <w:tcPr>
            <w:tcW w:w="650" w:type="dxa"/>
            <w:noWrap w:val="0"/>
            <w:vAlign w:val="center"/>
          </w:tcPr>
          <w:p>
            <w:pPr>
              <w:bidi w:val="0"/>
              <w:rPr>
                <w:rFonts w:hint="eastAsia" w:ascii="宋体" w:hAnsi="宋体" w:eastAsia="宋体" w:cs="宋体"/>
                <w:sz w:val="21"/>
                <w:szCs w:val="21"/>
                <w:lang w:val="en-US" w:eastAsia="zh-CN"/>
              </w:rPr>
            </w:pPr>
          </w:p>
        </w:tc>
        <w:tc>
          <w:tcPr>
            <w:tcW w:w="1383" w:type="dxa"/>
            <w:noWrap w:val="0"/>
            <w:vAlign w:val="center"/>
          </w:tcPr>
          <w:p>
            <w:pPr>
              <w:bidi w:val="0"/>
              <w:rPr>
                <w:rFonts w:hint="eastAsia" w:ascii="宋体" w:hAnsi="宋体" w:eastAsia="宋体" w:cs="宋体"/>
                <w:sz w:val="21"/>
                <w:szCs w:val="21"/>
                <w:lang w:val="en-US" w:eastAsia="zh-CN"/>
              </w:rPr>
            </w:pPr>
          </w:p>
        </w:tc>
        <w:tc>
          <w:tcPr>
            <w:tcW w:w="1584" w:type="dxa"/>
            <w:noWrap w:val="0"/>
            <w:vAlign w:val="center"/>
          </w:tcPr>
          <w:p>
            <w:pPr>
              <w:bidi w:val="0"/>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522" w:type="dxa"/>
            <w:gridSpan w:val="8"/>
            <w:noWrap w:val="0"/>
            <w:vAlign w:val="center"/>
          </w:tcPr>
          <w:p>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注：最终结算数量以实际供应完成合格工程量为准</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.材料进场时需提供检测合格证明，成交人应保证所供产品完全符合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及相关规范约定的质量、规格和性能的要求，如成交人所供产品不符合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约定的质量标准，采购人有权拒收，成交人无条件退/换货，同时按此合同采购货款的10%对采购人承担违约金,且成交人无条件承担因此给甲方所造成其他一切损失。</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r>
        <w:rPr>
          <w:rFonts w:hint="eastAsia" w:ascii="Times New Roman" w:hAnsi="Times New Roman" w:cs="Times New Roman" w:eastAsiaTheme="majorEastAsia"/>
          <w:b/>
          <w:bCs/>
          <w:sz w:val="32"/>
          <w:szCs w:val="32"/>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309省道（原307亳州段）一级公路交安工程专项养护施工项目道路交通标志采购（二次）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AHTKJS-2025-48号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2" w:name="_Toc300835209"/>
      <w:bookmarkStart w:id="243" w:name="_Toc152042576"/>
      <w:bookmarkStart w:id="244" w:name="_Toc144974856"/>
      <w:bookmarkStart w:id="245" w:name="_Toc247527827"/>
      <w:bookmarkStart w:id="246" w:name="_Toc152045787"/>
      <w:bookmarkStart w:id="247" w:name="_Toc247514246"/>
      <w:r>
        <w:rPr>
          <w:rFonts w:hint="default" w:ascii="Times New Roman" w:hAnsi="Times New Roman" w:cs="Times New Roman"/>
        </w:rPr>
        <w:t>目    录</w:t>
      </w:r>
      <w:bookmarkEnd w:id="242"/>
      <w:bookmarkEnd w:id="243"/>
      <w:bookmarkEnd w:id="244"/>
      <w:bookmarkEnd w:id="245"/>
      <w:bookmarkEnd w:id="246"/>
      <w:bookmarkEnd w:id="247"/>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8" w:name="_Toc247527828"/>
      <w:bookmarkStart w:id="249" w:name="_Toc152045788"/>
      <w:bookmarkStart w:id="250" w:name="_Toc247514247"/>
      <w:bookmarkStart w:id="251" w:name="_Toc144974857"/>
      <w:bookmarkStart w:id="252" w:name="_Toc152042577"/>
      <w:bookmarkStart w:id="253"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pPr>
        <w:spacing w:line="440" w:lineRule="exact"/>
        <w:rPr>
          <w:rFonts w:hint="default" w:ascii="Times New Roman" w:hAnsi="Times New Roman" w:cs="Times New Roman"/>
          <w:szCs w:val="21"/>
        </w:rPr>
      </w:pPr>
      <w:bookmarkStart w:id="254" w:name="_Toc144974859"/>
      <w:bookmarkStart w:id="255" w:name="_Toc247527830"/>
      <w:bookmarkStart w:id="256" w:name="_Toc152042579"/>
      <w:bookmarkStart w:id="257" w:name="_Toc300835212"/>
      <w:bookmarkStart w:id="258" w:name="_Toc152045790"/>
      <w:bookmarkStart w:id="259"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309省道（原307亳州段）一级公路交安工程专项养护施工项目道路交通标志采购（二次）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0"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AHTKJS-2025-48号</w:t>
      </w:r>
      <w:permEnd w:id="40"/>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，供货期：自合同签订之日起2年；交货期：自采购人发出交货指令起7日内完成交货。</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pPr>
        <w:pStyle w:val="4"/>
        <w:jc w:val="both"/>
        <w:rPr>
          <w:rFonts w:hint="default" w:ascii="Times New Roman" w:hAnsi="Times New Roman" w:cs="Times New Roman"/>
        </w:rPr>
      </w:pPr>
      <w:bookmarkStart w:id="260" w:name="_Toc300835213"/>
      <w:bookmarkStart w:id="261" w:name="_Toc144974860"/>
      <w:bookmarkStart w:id="262" w:name="_Toc152042580"/>
      <w:bookmarkStart w:id="263" w:name="_Toc247514283"/>
      <w:bookmarkStart w:id="264" w:name="_Toc152045791"/>
      <w:bookmarkStart w:id="265" w:name="_Toc24752783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300835214"/>
      <w:bookmarkStart w:id="267" w:name="_Toc247514284"/>
      <w:bookmarkStart w:id="268" w:name="_Toc152042581"/>
      <w:bookmarkStart w:id="269" w:name="_Toc152045792"/>
      <w:bookmarkStart w:id="270" w:name="_Toc247527832"/>
      <w:bookmarkStart w:id="271"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2" w:name="_Toc247514286"/>
      <w:bookmarkStart w:id="273" w:name="_Toc152045794"/>
      <w:bookmarkStart w:id="274" w:name="_Toc300835216"/>
      <w:bookmarkStart w:id="275" w:name="_Toc152042583"/>
      <w:bookmarkStart w:id="276" w:name="_Toc247527834"/>
      <w:bookmarkStart w:id="277"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8"/>
    <w:p>
      <w:pPr>
        <w:rPr>
          <w:rFonts w:hint="default" w:ascii="Times New Roman" w:hAnsi="Times New Roman" w:cs="Times New Roman"/>
        </w:rPr>
      </w:pPr>
      <w:bookmarkStart w:id="279" w:name="_Toc300835218"/>
      <w:bookmarkStart w:id="280" w:name="_Toc144974863"/>
      <w:bookmarkStart w:id="281" w:name="_Toc247514287"/>
      <w:bookmarkStart w:id="282" w:name="_Toc152042584"/>
      <w:bookmarkStart w:id="283" w:name="_Toc152045795"/>
      <w:bookmarkStart w:id="284" w:name="_Toc24752783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lang w:val="en-US" w:eastAsia="zh-CN"/>
        </w:rPr>
      </w:pPr>
      <w:r>
        <w:rPr>
          <w:rFonts w:hint="eastAsia" w:ascii="Times New Roman" w:hAnsi="Times New Roman" w:cs="Times New Roman"/>
          <w:lang w:val="en-US" w:eastAsia="zh-CN"/>
        </w:rPr>
        <w:t>七、报价表</w:t>
      </w:r>
    </w:p>
    <w:tbl>
      <w:tblPr>
        <w:tblStyle w:val="20"/>
        <w:tblpPr w:leftFromText="180" w:rightFromText="180" w:vertAnchor="text" w:horzAnchor="page" w:tblpX="1912"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348"/>
        <w:gridCol w:w="1066"/>
        <w:gridCol w:w="940"/>
        <w:gridCol w:w="1020"/>
        <w:gridCol w:w="650"/>
        <w:gridCol w:w="1383"/>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0" w:type="auto"/>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0" w:type="auto"/>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材料名称</w:t>
            </w:r>
          </w:p>
        </w:tc>
        <w:tc>
          <w:tcPr>
            <w:tcW w:w="1066"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单价 （不含税，元/㎡）</w:t>
            </w:r>
          </w:p>
        </w:tc>
        <w:tc>
          <w:tcPr>
            <w:tcW w:w="940"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面积（㎡）</w:t>
            </w:r>
          </w:p>
        </w:tc>
        <w:tc>
          <w:tcPr>
            <w:tcW w:w="1020"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总价（元</w:t>
            </w:r>
          </w:p>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不含税）</w:t>
            </w:r>
          </w:p>
        </w:tc>
        <w:tc>
          <w:tcPr>
            <w:tcW w:w="650"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税率</w:t>
            </w:r>
          </w:p>
        </w:tc>
        <w:tc>
          <w:tcPr>
            <w:tcW w:w="1383"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总价（元</w:t>
            </w:r>
          </w:p>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含税）</w:t>
            </w:r>
          </w:p>
        </w:tc>
        <w:tc>
          <w:tcPr>
            <w:tcW w:w="1584" w:type="dxa"/>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2㎡以上V类反光膜</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restart"/>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底膜和字膜，按采购人要求加工成相应规格尺寸的成品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2㎡以下V类反光膜</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continue"/>
            <w:noWrap w:val="0"/>
            <w:vAlign w:val="center"/>
          </w:tcPr>
          <w:p>
            <w:pPr>
              <w:bidi w:val="0"/>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2㎡以上道路交通标志</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restart"/>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包含LFM-2铝合金原材料、铝板制作、铝槽、V类反光膜、抱箍、加固螺栓等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2㎡以下道路交通标志</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vMerge w:val="continue"/>
            <w:noWrap w:val="0"/>
            <w:vAlign w:val="center"/>
          </w:tcPr>
          <w:p>
            <w:pPr>
              <w:bidi w:val="0"/>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0" w:type="auto"/>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V类反光膜</w:t>
            </w:r>
          </w:p>
        </w:tc>
        <w:tc>
          <w:tcPr>
            <w:tcW w:w="1066" w:type="dxa"/>
            <w:noWrap w:val="0"/>
            <w:vAlign w:val="center"/>
          </w:tcPr>
          <w:p>
            <w:pPr>
              <w:bidi w:val="0"/>
              <w:jc w:val="center"/>
              <w:rPr>
                <w:rFonts w:hint="eastAsia" w:ascii="宋体" w:hAnsi="宋体" w:eastAsia="宋体" w:cs="宋体"/>
                <w:sz w:val="21"/>
                <w:szCs w:val="21"/>
                <w:lang w:val="en-US" w:eastAsia="zh-CN"/>
              </w:rPr>
            </w:pPr>
          </w:p>
        </w:tc>
        <w:tc>
          <w:tcPr>
            <w:tcW w:w="940" w:type="dxa"/>
            <w:noWrap w:val="0"/>
            <w:vAlign w:val="center"/>
          </w:tcPr>
          <w:p>
            <w:pPr>
              <w:bidi w:val="0"/>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500</w:t>
            </w:r>
          </w:p>
        </w:tc>
        <w:tc>
          <w:tcPr>
            <w:tcW w:w="1020" w:type="dxa"/>
            <w:noWrap w:val="0"/>
            <w:vAlign w:val="center"/>
          </w:tcPr>
          <w:p>
            <w:pPr>
              <w:bidi w:val="0"/>
              <w:jc w:val="center"/>
              <w:rPr>
                <w:rFonts w:hint="eastAsia" w:ascii="宋体" w:hAnsi="宋体" w:eastAsia="宋体" w:cs="宋体"/>
                <w:sz w:val="21"/>
                <w:szCs w:val="21"/>
                <w:lang w:val="en-US" w:eastAsia="zh-CN"/>
              </w:rPr>
            </w:pPr>
          </w:p>
        </w:tc>
        <w:tc>
          <w:tcPr>
            <w:tcW w:w="650" w:type="dxa"/>
            <w:noWrap w:val="0"/>
            <w:vAlign w:val="center"/>
          </w:tcPr>
          <w:p>
            <w:pPr>
              <w:bidi w:val="0"/>
              <w:jc w:val="center"/>
              <w:rPr>
                <w:rFonts w:hint="eastAsia" w:ascii="宋体" w:hAnsi="宋体" w:eastAsia="宋体" w:cs="宋体"/>
                <w:sz w:val="21"/>
                <w:szCs w:val="21"/>
                <w:lang w:val="en-US" w:eastAsia="zh-CN"/>
              </w:rPr>
            </w:pPr>
          </w:p>
        </w:tc>
        <w:tc>
          <w:tcPr>
            <w:tcW w:w="1383" w:type="dxa"/>
            <w:noWrap w:val="0"/>
            <w:vAlign w:val="center"/>
          </w:tcPr>
          <w:p>
            <w:pPr>
              <w:bidi w:val="0"/>
              <w:jc w:val="center"/>
              <w:rPr>
                <w:rFonts w:hint="eastAsia" w:ascii="宋体" w:hAnsi="宋体" w:eastAsia="宋体" w:cs="宋体"/>
                <w:sz w:val="21"/>
                <w:szCs w:val="21"/>
                <w:lang w:val="en-US" w:eastAsia="zh-CN"/>
              </w:rPr>
            </w:pPr>
          </w:p>
        </w:tc>
        <w:tc>
          <w:tcPr>
            <w:tcW w:w="1584" w:type="dxa"/>
            <w:noWrap w:val="0"/>
            <w:vAlign w:val="center"/>
          </w:tcPr>
          <w:p>
            <w:pPr>
              <w:bidi w:val="0"/>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noWrap w:val="0"/>
            <w:vAlign w:val="center"/>
          </w:tcPr>
          <w:p>
            <w:pPr>
              <w:bidi w:val="0"/>
              <w:ind w:left="0" w:leftChars="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3354" w:type="dxa"/>
            <w:gridSpan w:val="3"/>
            <w:noWrap w:val="0"/>
            <w:vAlign w:val="center"/>
          </w:tcPr>
          <w:p>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合计</w:t>
            </w:r>
          </w:p>
        </w:tc>
        <w:tc>
          <w:tcPr>
            <w:tcW w:w="1020" w:type="dxa"/>
            <w:noWrap w:val="0"/>
            <w:vAlign w:val="center"/>
          </w:tcPr>
          <w:p>
            <w:pPr>
              <w:bidi w:val="0"/>
              <w:rPr>
                <w:rFonts w:hint="eastAsia" w:ascii="宋体" w:hAnsi="宋体" w:eastAsia="宋体" w:cs="宋体"/>
                <w:sz w:val="21"/>
                <w:szCs w:val="21"/>
                <w:lang w:val="en-US" w:eastAsia="zh-CN"/>
              </w:rPr>
            </w:pPr>
          </w:p>
        </w:tc>
        <w:tc>
          <w:tcPr>
            <w:tcW w:w="650" w:type="dxa"/>
            <w:noWrap w:val="0"/>
            <w:vAlign w:val="center"/>
          </w:tcPr>
          <w:p>
            <w:pPr>
              <w:bidi w:val="0"/>
              <w:rPr>
                <w:rFonts w:hint="eastAsia" w:ascii="宋体" w:hAnsi="宋体" w:eastAsia="宋体" w:cs="宋体"/>
                <w:sz w:val="21"/>
                <w:szCs w:val="21"/>
                <w:lang w:val="en-US" w:eastAsia="zh-CN"/>
              </w:rPr>
            </w:pPr>
          </w:p>
        </w:tc>
        <w:tc>
          <w:tcPr>
            <w:tcW w:w="1383" w:type="dxa"/>
            <w:noWrap w:val="0"/>
            <w:vAlign w:val="center"/>
          </w:tcPr>
          <w:p>
            <w:pPr>
              <w:bidi w:val="0"/>
              <w:rPr>
                <w:rFonts w:hint="eastAsia" w:ascii="宋体" w:hAnsi="宋体" w:eastAsia="宋体" w:cs="宋体"/>
                <w:sz w:val="21"/>
                <w:szCs w:val="21"/>
                <w:lang w:val="en-US" w:eastAsia="zh-CN"/>
              </w:rPr>
            </w:pPr>
          </w:p>
        </w:tc>
        <w:tc>
          <w:tcPr>
            <w:tcW w:w="1584" w:type="dxa"/>
            <w:noWrap w:val="0"/>
            <w:vAlign w:val="center"/>
          </w:tcPr>
          <w:p>
            <w:pPr>
              <w:bidi w:val="0"/>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522" w:type="dxa"/>
            <w:gridSpan w:val="8"/>
            <w:noWrap w:val="0"/>
            <w:vAlign w:val="center"/>
          </w:tcPr>
          <w:p>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注：最终结算数量以实际供应完成合格工程量为准</w:t>
            </w:r>
          </w:p>
        </w:tc>
      </w:tr>
    </w:tbl>
    <w:p>
      <w:pPr>
        <w:pStyle w:val="3"/>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pPr>
        <w:pStyle w:val="4"/>
        <w:jc w:val="center"/>
        <w:rPr>
          <w:rFonts w:hint="eastAsia"/>
        </w:rPr>
      </w:pPr>
      <w:bookmarkStart w:id="285" w:name="_Toc247514288"/>
      <w:bookmarkStart w:id="286" w:name="_Toc152045796"/>
      <w:bookmarkStart w:id="287" w:name="_Toc300835221"/>
      <w:bookmarkStart w:id="288" w:name="_Toc247527836"/>
      <w:bookmarkStart w:id="289" w:name="_Toc144974864"/>
      <w:bookmarkStart w:id="290"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pPr>
        <w:spacing w:before="53"/>
        <w:jc w:val="center"/>
        <w:rPr>
          <w:rFonts w:hint="eastAsia"/>
          <w:b/>
          <w:bCs/>
          <w:color w:val="FF0000"/>
          <w:lang w:val="en-US" w:eastAsia="zh-CN"/>
        </w:rPr>
      </w:pPr>
      <w:bookmarkStart w:id="292" w:name="_Toc247085891"/>
      <w:bookmarkStart w:id="293" w:name="_Toc246997116"/>
      <w:bookmarkStart w:id="294" w:name="_Toc179632828"/>
      <w:bookmarkStart w:id="295" w:name="_Toc296602618"/>
      <w:bookmarkStart w:id="296" w:name="_Toc246996373"/>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7" w:name="_Toc247085888"/>
      <w:bookmarkStart w:id="298" w:name="_Toc296602615"/>
      <w:bookmarkStart w:id="299" w:name="_Toc246996370"/>
      <w:bookmarkStart w:id="300" w:name="_Toc246997113"/>
      <w:bookmarkStart w:id="301" w:name="_Toc152045810"/>
      <w:bookmarkStart w:id="302" w:name="_Toc152042599"/>
      <w:bookmarkStart w:id="303" w:name="_Toc300835226"/>
      <w:bookmarkStart w:id="304" w:name="_Toc144974878"/>
      <w:bookmarkStart w:id="305" w:name="_Toc247527850"/>
      <w:bookmarkStart w:id="306" w:name="_Toc247514302"/>
      <w:r>
        <w:t>（</w:t>
      </w:r>
      <w:r>
        <w:rPr>
          <w:rFonts w:hint="eastAsia"/>
          <w:lang w:val="en-US" w:eastAsia="zh-CN"/>
        </w:rPr>
        <w:t>二</w:t>
      </w:r>
      <w:r>
        <w:t>）项目管理机构组成表</w:t>
      </w:r>
      <w:bookmarkEnd w:id="297"/>
      <w:bookmarkEnd w:id="298"/>
      <w:bookmarkEnd w:id="299"/>
      <w:bookmarkEnd w:id="300"/>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7" w:name="_Toc246997114"/>
      <w:bookmarkStart w:id="308" w:name="_Toc246996371"/>
      <w:bookmarkStart w:id="309" w:name="_Toc247085889"/>
      <w:bookmarkStart w:id="310" w:name="_Toc296602616"/>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1" w:name="_Toc144974879"/>
      <w:bookmarkStart w:id="312" w:name="_Toc152042600"/>
      <w:bookmarkStart w:id="313" w:name="_Toc247514303"/>
      <w:bookmarkStart w:id="314" w:name="_Toc152045811"/>
      <w:bookmarkStart w:id="315" w:name="_Toc247527851"/>
    </w:p>
    <w:p>
      <w:pPr>
        <w:spacing w:line="440" w:lineRule="exact"/>
        <w:rPr>
          <w:rFonts w:hint="default" w:ascii="Times New Roman" w:hAnsi="Times New Roman" w:cs="Times New Roman"/>
        </w:rPr>
      </w:pPr>
    </w:p>
    <w:bookmarkEnd w:id="311"/>
    <w:bookmarkEnd w:id="312"/>
    <w:bookmarkEnd w:id="313"/>
    <w:bookmarkEnd w:id="314"/>
    <w:bookmarkEnd w:id="315"/>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1"/>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6" w:name="_Toc247527853"/>
      <w:bookmarkStart w:id="317" w:name="_Toc152042602"/>
      <w:bookmarkStart w:id="318" w:name="_Toc144974881"/>
      <w:bookmarkStart w:id="319" w:name="_Toc152045813"/>
      <w:bookmarkStart w:id="320" w:name="_Toc247530162"/>
      <w:bookmarkStart w:id="321" w:name="_Toc247514305"/>
    </w:p>
    <w:bookmarkEnd w:id="316"/>
    <w:bookmarkEnd w:id="317"/>
    <w:bookmarkEnd w:id="318"/>
    <w:bookmarkEnd w:id="319"/>
    <w:bookmarkEnd w:id="320"/>
    <w:bookmarkEnd w:id="321"/>
    <w:p>
      <w:pPr>
        <w:pStyle w:val="4"/>
        <w:jc w:val="center"/>
        <w:rPr>
          <w:rFonts w:hint="default" w:ascii="Times New Roman" w:hAnsi="Times New Roman" w:cs="Times New Roman"/>
        </w:rPr>
      </w:pPr>
      <w:bookmarkStart w:id="322" w:name="_Toc271821942"/>
      <w:bookmarkStart w:id="323"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2"/>
      <w:bookmarkEnd w:id="32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50CD38A-907E-4706-9047-B1111672C4BF}"/>
  </w:font>
  <w:font w:name="Arial">
    <w:panose1 w:val="020B0604020202020204"/>
    <w:charset w:val="01"/>
    <w:family w:val="swiss"/>
    <w:pitch w:val="default"/>
    <w:sig w:usb0="E0002EFF" w:usb1="C000785B" w:usb2="00000009" w:usb3="00000000" w:csb0="400001FF" w:csb1="FFFF0000"/>
    <w:embedRegular r:id="rId2" w:fontKey="{DCC0A066-CC45-4F03-9B00-59F95C98D590}"/>
  </w:font>
  <w:font w:name="黑体">
    <w:panose1 w:val="02010609060101010101"/>
    <w:charset w:val="86"/>
    <w:family w:val="auto"/>
    <w:pitch w:val="default"/>
    <w:sig w:usb0="800002BF" w:usb1="38CF7CFA" w:usb2="00000016" w:usb3="00000000" w:csb0="00040001" w:csb1="00000000"/>
    <w:embedRegular r:id="rId3" w:fontKey="{B8F7D021-18C7-4A9F-9FDA-6A9D971654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C069A55-D9E8-46AA-BBFF-443C27717626}"/>
  </w:font>
  <w:font w:name="仿宋_GB2312">
    <w:panose1 w:val="02010609030101010101"/>
    <w:charset w:val="86"/>
    <w:family w:val="modern"/>
    <w:pitch w:val="default"/>
    <w:sig w:usb0="00000001" w:usb1="080E0000" w:usb2="00000000" w:usb3="00000000" w:csb0="00040000" w:csb1="00000000"/>
    <w:embedRegular r:id="rId5" w:fontKey="{32F2DF6A-1C9F-4074-98C4-BB83A67E474B}"/>
  </w:font>
  <w:font w:name="楷体">
    <w:panose1 w:val="02010609060101010101"/>
    <w:charset w:val="86"/>
    <w:family w:val="auto"/>
    <w:pitch w:val="default"/>
    <w:sig w:usb0="800002BF" w:usb1="38CF7CFA" w:usb2="00000016" w:usb3="00000000" w:csb0="00040001" w:csb1="00000000"/>
    <w:embedRegular r:id="rId6" w:fontKey="{4E487A64-A4D5-4CD2-837B-DDCE217DE1A1}"/>
  </w:font>
  <w:font w:name="Wingdings 2">
    <w:altName w:val="Wingdings"/>
    <w:panose1 w:val="05020102010507070707"/>
    <w:charset w:val="00"/>
    <w:family w:val="auto"/>
    <w:pitch w:val="default"/>
    <w:sig w:usb0="00000000" w:usb1="00000000" w:usb2="00000000" w:usb3="00000000" w:csb0="80000000" w:csb1="00000000"/>
    <w:embedRegular r:id="rId7" w:fontKey="{D5783BF5-22D6-4CB7-9EAB-3938CAA3D9F5}"/>
  </w:font>
  <w:font w:name="方正仿宋_GB2312">
    <w:altName w:val="仿宋"/>
    <w:panose1 w:val="02000000000000000000"/>
    <w:charset w:val="86"/>
    <w:family w:val="auto"/>
    <w:pitch w:val="default"/>
    <w:sig w:usb0="00000000" w:usb1="00000000" w:usb2="00000012" w:usb3="00000000" w:csb0="00040001" w:csb1="00000000"/>
    <w:embedRegular r:id="rId8" w:fontKey="{C7134DD0-6583-4B39-8A1C-D4D116EA4B73}"/>
  </w:font>
  <w:font w:name="仿宋">
    <w:panose1 w:val="02010609060101010101"/>
    <w:charset w:val="86"/>
    <w:family w:val="auto"/>
    <w:pitch w:val="default"/>
    <w:sig w:usb0="800002BF" w:usb1="38CF7CFA" w:usb2="00000016" w:usb3="00000000" w:csb0="00040001" w:csb1="00000000"/>
    <w:embedRegular r:id="rId9" w:fontKey="{5588DA4E-4FF2-4BAB-85CA-E5009A95D7A0}"/>
  </w:font>
  <w:font w:name="方正小标宋简体">
    <w:panose1 w:val="02010600010101010101"/>
    <w:charset w:val="86"/>
    <w:family w:val="auto"/>
    <w:pitch w:val="default"/>
    <w:sig w:usb0="00000001" w:usb1="080E0000" w:usb2="00000000" w:usb3="00000000" w:csb0="00040000" w:csb1="00000000"/>
    <w:embedRegular r:id="rId10" w:fontKey="{8D8CDA16-1A09-49B7-8951-94CEFB24C84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1FF4CD"/>
    <w:multiLevelType w:val="singleLevel"/>
    <w:tmpl w:val="AB1FF4CD"/>
    <w:lvl w:ilvl="0" w:tentative="0">
      <w:start w:val="5"/>
      <w:numFmt w:val="chineseCounting"/>
      <w:suff w:val="space"/>
      <w:lvlText w:val="第%1章"/>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077821"/>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CE6FE8"/>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311F94"/>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6544B"/>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1441C"/>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D0233"/>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303A0D"/>
    <w:rsid w:val="2A4913A2"/>
    <w:rsid w:val="2A6E6670"/>
    <w:rsid w:val="2A7A1DC4"/>
    <w:rsid w:val="2A8F3B49"/>
    <w:rsid w:val="2A8F792B"/>
    <w:rsid w:val="2A9154D8"/>
    <w:rsid w:val="2AA04C57"/>
    <w:rsid w:val="2ACB46DB"/>
    <w:rsid w:val="2AD750C3"/>
    <w:rsid w:val="2AE77D08"/>
    <w:rsid w:val="2AEA3011"/>
    <w:rsid w:val="2AEC1734"/>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A94"/>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22B7E"/>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B72C6"/>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1E72EC"/>
    <w:rsid w:val="3D2571D3"/>
    <w:rsid w:val="3D2959BD"/>
    <w:rsid w:val="3D2E50CA"/>
    <w:rsid w:val="3D3954D4"/>
    <w:rsid w:val="3D445F7F"/>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B96FFB"/>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8E50C6"/>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80521"/>
    <w:rsid w:val="461F685B"/>
    <w:rsid w:val="463A35BA"/>
    <w:rsid w:val="464078D3"/>
    <w:rsid w:val="464478D6"/>
    <w:rsid w:val="4658048C"/>
    <w:rsid w:val="46594972"/>
    <w:rsid w:val="466640DD"/>
    <w:rsid w:val="466C691A"/>
    <w:rsid w:val="46763AFA"/>
    <w:rsid w:val="46A86AC5"/>
    <w:rsid w:val="46AC790F"/>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4E2E93"/>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0C3E92"/>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6061D"/>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F3254"/>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5653B"/>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8405F"/>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5925F0"/>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55E53"/>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0D369E"/>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0603E"/>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014D09"/>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A3BDC"/>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6291A"/>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szCs w:val="20"/>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51"/>
    <w:basedOn w:val="21"/>
    <w:qFormat/>
    <w:uiPriority w:val="0"/>
    <w:rPr>
      <w:rFonts w:hint="eastAsia" w:ascii="宋体" w:hAnsi="宋体" w:eastAsia="宋体" w:cs="宋体"/>
      <w:color w:val="000000"/>
      <w:sz w:val="22"/>
      <w:szCs w:val="22"/>
      <w:u w:val="none"/>
    </w:rPr>
  </w:style>
  <w:style w:type="character" w:customStyle="1" w:styleId="35">
    <w:name w:val="font61"/>
    <w:basedOn w:val="21"/>
    <w:qFormat/>
    <w:uiPriority w:val="0"/>
    <w:rPr>
      <w:rFonts w:hint="default" w:ascii="Times New Roman" w:hAnsi="Times New Roman" w:cs="Times New Roman"/>
      <w:color w:val="000000"/>
      <w:sz w:val="22"/>
      <w:szCs w:val="22"/>
      <w:u w:val="none"/>
    </w:rPr>
  </w:style>
  <w:style w:type="character" w:customStyle="1" w:styleId="36">
    <w:name w:val="font71"/>
    <w:basedOn w:val="21"/>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16371</Words>
  <Characters>17449</Characters>
  <Lines>0</Lines>
  <Paragraphs>0</Paragraphs>
  <TotalTime>3</TotalTime>
  <ScaleCrop>false</ScaleCrop>
  <LinksUpToDate>false</LinksUpToDate>
  <CharactersWithSpaces>18640</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2025-07-03T08:25:00Z</cp:lastPrinted>
  <dcterms:modified xsi:type="dcterms:W3CDTF">2025-07-31T09:15:48Z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