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文苑路加油站项目标识标牌采购</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 xml:space="preserve"> 009 </w:t>
      </w:r>
      <w:r>
        <w:rPr>
          <w:rFonts w:hint="default" w:ascii="Times New Roman" w:hAnsi="Times New Roman" w:eastAsia="楷体" w:cs="Times New Roman"/>
          <w:kern w:val="0"/>
          <w:sz w:val="28"/>
          <w:szCs w:val="28"/>
          <w:highlight w:val="none"/>
          <w:u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亳州交控产业发展有限公司</w:t>
      </w:r>
      <w:permEnd w:id="2"/>
    </w:p>
    <w:p w14:paraId="006EF9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14:paraId="4012FD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2025年 8 </w:t>
      </w:r>
      <w:r>
        <w:rPr>
          <w:rFonts w:hint="eastAsia" w:ascii="Times New Roman" w:hAnsi="Times New Roman" w:eastAsia="楷体" w:cs="Times New Roman"/>
          <w:kern w:val="0"/>
          <w:sz w:val="32"/>
          <w:szCs w:val="32"/>
          <w:highlight w:val="none"/>
          <w:u w:val="none"/>
          <w:shd w:val="clear" w:color="auto" w:fill="auto"/>
          <w:lang w:val="en-US" w:eastAsia="zh-CN"/>
        </w:rPr>
        <w:t>月 19 日</w:t>
      </w:r>
      <w:permEnd w:id="3"/>
    </w:p>
    <w:p w14:paraId="7440ED3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3"/>
          <w:cols w:space="0" w:num="1"/>
          <w:rtlGutter w:val="0"/>
          <w:docGrid w:type="lines" w:linePitch="312" w:charSpace="0"/>
        </w:sectPr>
      </w:pP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文苑路加油站项目标识标牌采购询比公告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96602410"/>
      <w:bookmarkStart w:id="2" w:name="_Toc179632536"/>
      <w:bookmarkStart w:id="3" w:name="_Toc152042295"/>
      <w:bookmarkStart w:id="4" w:name="_Toc246996166"/>
      <w:bookmarkStart w:id="5" w:name="_Toc246996909"/>
      <w:bookmarkStart w:id="6" w:name="_Toc247085680"/>
      <w:bookmarkStart w:id="7" w:name="_Toc144974487"/>
      <w:r>
        <w:rPr>
          <w:rFonts w:hint="eastAsia" w:ascii="宋体" w:hAnsi="宋体" w:eastAsia="宋体" w:cs="宋体"/>
          <w:sz w:val="28"/>
          <w:szCs w:val="28"/>
          <w:highlight w:val="none"/>
          <w:u w:val="single"/>
          <w:lang w:val="en-US" w:eastAsia="zh-CN"/>
        </w:rPr>
        <w:t>文苑路加油站项目标识标牌采购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152042296"/>
      <w:bookmarkStart w:id="10" w:name="_Toc179632537"/>
      <w:bookmarkStart w:id="11" w:name="_Toc152045520"/>
      <w:bookmarkStart w:id="12" w:name="_Toc296602411"/>
      <w:bookmarkStart w:id="13" w:name="_Toc246996167"/>
      <w:bookmarkStart w:id="14" w:name="_Toc247085681"/>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文苑路加油站项目</w:t>
      </w:r>
      <w:r>
        <w:rPr>
          <w:rFonts w:hint="eastAsia" w:asciiTheme="minorEastAsia" w:hAnsiTheme="minorEastAsia" w:cstheme="minorEastAsia"/>
          <w:sz w:val="28"/>
          <w:szCs w:val="28"/>
          <w:highlight w:val="none"/>
          <w:lang w:val="en-US" w:eastAsia="zh-CN"/>
        </w:rPr>
        <w:t>标识标牌</w:t>
      </w:r>
      <w:r>
        <w:rPr>
          <w:rFonts w:hint="eastAsia" w:asciiTheme="minorEastAsia" w:hAnsiTheme="minorEastAsia" w:eastAsiaTheme="minorEastAsia" w:cstheme="minorEastAsia"/>
          <w:sz w:val="28"/>
          <w:szCs w:val="28"/>
          <w:highlight w:val="none"/>
          <w:lang w:val="en-US" w:eastAsia="zh-CN"/>
        </w:rPr>
        <w:t>采购</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w:t>
      </w:r>
      <w:r>
        <w:rPr>
          <w:rFonts w:hint="eastAsia" w:asciiTheme="minorEastAsia" w:hAnsiTheme="minorEastAsia" w:cstheme="minorEastAsia"/>
          <w:sz w:val="28"/>
          <w:szCs w:val="28"/>
          <w:highlight w:val="none"/>
          <w:lang w:val="en-US" w:eastAsia="zh-CN"/>
        </w:rPr>
        <w:t>ZC</w:t>
      </w:r>
      <w:r>
        <w:rPr>
          <w:rFonts w:hint="eastAsia" w:asciiTheme="minorEastAsia" w:hAnsiTheme="minorEastAsia" w:eastAsiaTheme="minorEastAsia" w:cstheme="minorEastAsia"/>
          <w:sz w:val="28"/>
          <w:szCs w:val="28"/>
          <w:highlight w:val="none"/>
          <w:lang w:val="en-US" w:eastAsia="zh-CN"/>
        </w:rPr>
        <w:t>-2025</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009</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5D70E7C6">
      <w:pPr>
        <w:keepNext w:val="0"/>
        <w:keepLines w:val="0"/>
        <w:pageBreakBefore w:val="0"/>
        <w:widowControl w:val="0"/>
        <w:kinsoku/>
        <w:wordWrap w:val="0"/>
        <w:overflowPunct/>
        <w:topLinePunct w:val="0"/>
        <w:autoSpaceDE/>
        <w:autoSpaceDN/>
        <w:bidi w:val="0"/>
        <w:adjustRightInd/>
        <w:snapToGrid/>
        <w:spacing w:line="240" w:lineRule="auto"/>
        <w:ind w:firstLine="560" w:firstLineChars="200"/>
        <w:jc w:val="left"/>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 xml:space="preserve">亳州交控产业发展有限公司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sz w:val="28"/>
          <w:szCs w:val="28"/>
          <w:highlight w:val="none"/>
          <w:u w:val="none"/>
          <w:lang w:val="en-US" w:eastAsia="zh-CN"/>
        </w:rPr>
        <w:t xml:space="preserve">已落实 </w:t>
      </w:r>
      <w:permEnd w:id="9"/>
    </w:p>
    <w:p w14:paraId="21C33E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（不含税）</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82770元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报价。报价超出限价</w:t>
      </w:r>
      <w:r>
        <w:rPr>
          <w:rFonts w:hint="eastAsia" w:asciiTheme="minorEastAsia" w:hAnsiTheme="minorEastAsia" w:cstheme="minorEastAsia"/>
          <w:sz w:val="28"/>
          <w:szCs w:val="28"/>
          <w:highlight w:val="none"/>
          <w:lang w:val="en-US" w:eastAsia="zh-CN"/>
        </w:rPr>
        <w:t>或异常低价可能影响合同履约</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文苑路加油站项目</w:t>
      </w:r>
      <w:r>
        <w:rPr>
          <w:rFonts w:hint="eastAsia" w:asciiTheme="minorEastAsia" w:hAnsiTheme="minorEastAsia" w:cstheme="minorEastAsia"/>
          <w:sz w:val="28"/>
          <w:szCs w:val="28"/>
          <w:highlight w:val="none"/>
          <w:lang w:val="en-US" w:eastAsia="zh-CN"/>
        </w:rPr>
        <w:t>采购加油站专用设备及标识标牌等设备。</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none"/>
          <w:lang w:val="en-US" w:eastAsia="zh-CN"/>
        </w:rPr>
        <w:t>15</w:t>
      </w:r>
      <w:r>
        <w:rPr>
          <w:rFonts w:hint="eastAsia" w:asciiTheme="minorEastAsia" w:hAnsiTheme="minorEastAsia" w:eastAsiaTheme="minorEastAsia" w:cstheme="minorEastAsia"/>
          <w:sz w:val="28"/>
          <w:szCs w:val="28"/>
          <w:highlight w:val="none"/>
          <w:u w:val="none"/>
          <w:lang w:val="en-US" w:eastAsia="zh-CN"/>
        </w:rPr>
        <w:t>个日历天内完成</w:t>
      </w:r>
      <w:r>
        <w:rPr>
          <w:rFonts w:hint="eastAsia" w:asciiTheme="minorEastAsia" w:hAnsiTheme="minorEastAsia" w:cstheme="minorEastAsia"/>
          <w:sz w:val="28"/>
          <w:szCs w:val="28"/>
          <w:highlight w:val="none"/>
          <w:u w:val="none"/>
          <w:lang w:val="en-US" w:eastAsia="zh-CN"/>
        </w:rPr>
        <w:t>送货</w:t>
      </w:r>
      <w:r>
        <w:rPr>
          <w:rFonts w:hint="eastAsia" w:asciiTheme="minorEastAsia" w:hAnsiTheme="minorEastAsia" w:eastAsiaTheme="minorEastAsia" w:cstheme="minorEastAsia"/>
          <w:sz w:val="28"/>
          <w:szCs w:val="28"/>
          <w:highlight w:val="none"/>
          <w:u w:val="none"/>
          <w:lang w:val="en-US" w:eastAsia="zh-CN"/>
        </w:rPr>
        <w:t>、安装及调试</w:t>
      </w:r>
      <w:r>
        <w:rPr>
          <w:rFonts w:hint="eastAsia" w:asciiTheme="minorEastAsia" w:hAnsiTheme="minorEastAsia" w:cstheme="minorEastAsia"/>
          <w:sz w:val="28"/>
          <w:szCs w:val="28"/>
          <w:highlight w:val="none"/>
          <w:u w:val="none"/>
          <w:lang w:val="en-US" w:eastAsia="zh-CN"/>
        </w:rPr>
        <w:t>，其中国省道双向导向牌项目</w:t>
      </w:r>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none"/>
          <w:lang w:val="en-US" w:eastAsia="zh-CN"/>
        </w:rPr>
        <w:t>30</w:t>
      </w:r>
      <w:r>
        <w:rPr>
          <w:rFonts w:hint="eastAsia" w:asciiTheme="minorEastAsia" w:hAnsiTheme="minorEastAsia" w:eastAsiaTheme="minorEastAsia" w:cstheme="minorEastAsia"/>
          <w:sz w:val="28"/>
          <w:szCs w:val="28"/>
          <w:highlight w:val="none"/>
          <w:u w:val="none"/>
          <w:lang w:val="en-US" w:eastAsia="zh-CN"/>
        </w:rPr>
        <w:t>个日历天内完成</w:t>
      </w:r>
      <w:r>
        <w:rPr>
          <w:rFonts w:hint="eastAsia" w:asciiTheme="minorEastAsia" w:hAnsiTheme="minorEastAsia" w:cstheme="minorEastAsia"/>
          <w:sz w:val="28"/>
          <w:szCs w:val="28"/>
          <w:highlight w:val="none"/>
          <w:u w:val="none"/>
          <w:lang w:val="en-US" w:eastAsia="zh-CN"/>
        </w:rPr>
        <w:t>施工</w:t>
      </w:r>
      <w:r>
        <w:rPr>
          <w:rFonts w:hint="eastAsia" w:asciiTheme="minorEastAsia" w:hAnsiTheme="minorEastAsia" w:eastAsiaTheme="minorEastAsia" w:cstheme="minorEastAsia"/>
          <w:sz w:val="28"/>
          <w:szCs w:val="28"/>
          <w:highlight w:val="none"/>
          <w:u w:val="none"/>
          <w:lang w:val="en-US" w:eastAsia="zh-CN"/>
        </w:rPr>
        <w:t>。</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文苑路加油站位于</w:t>
      </w:r>
      <w:r>
        <w:rPr>
          <w:rFonts w:hint="eastAsia" w:asciiTheme="minorEastAsia" w:hAnsiTheme="minorEastAsia" w:cstheme="minorEastAsia"/>
          <w:sz w:val="28"/>
          <w:szCs w:val="28"/>
          <w:highlight w:val="none"/>
          <w:lang w:val="en-US" w:eastAsia="zh-CN"/>
        </w:rPr>
        <w:t>亳州市</w:t>
      </w:r>
      <w:r>
        <w:rPr>
          <w:rFonts w:hint="eastAsia" w:asciiTheme="minorEastAsia" w:hAnsiTheme="minorEastAsia" w:eastAsiaTheme="minorEastAsia" w:cstheme="minorEastAsia"/>
          <w:sz w:val="28"/>
          <w:szCs w:val="28"/>
          <w:highlight w:val="none"/>
          <w:lang w:val="en-US" w:eastAsia="zh-CN"/>
        </w:rPr>
        <w:t>文苑路东侧、月季路以南、崇文路以西、亳芜大道北侧。</w:t>
      </w:r>
      <w:r>
        <w:rPr>
          <w:rFonts w:hint="eastAsia" w:asciiTheme="minorEastAsia" w:hAnsiTheme="minorEastAsia" w:cstheme="minorEastAsia"/>
          <w:color w:val="FF0000"/>
          <w:sz w:val="28"/>
          <w:szCs w:val="28"/>
          <w:highlight w:val="none"/>
          <w:lang w:val="en-US" w:eastAsia="zh-CN"/>
        </w:rPr>
        <w:t xml:space="preserve"> </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55B6AB5B">
      <w:pPr>
        <w:numPr>
          <w:ilvl w:val="0"/>
          <w:numId w:val="0"/>
        </w:numPr>
        <w:wordWrap w:val="0"/>
        <w:spacing w:line="480" w:lineRule="exact"/>
        <w:ind w:firstLine="560" w:firstLineChars="200"/>
        <w:rPr>
          <w:rFonts w:hint="eastAsia"/>
          <w:lang w:val="en-US" w:eastAsia="zh-CN"/>
        </w:rPr>
      </w:pPr>
      <w:r>
        <w:rPr>
          <w:rFonts w:hint="eastAsia" w:asciiTheme="minorEastAsia" w:hAnsiTheme="minorEastAsia" w:cstheme="minorEastAsia"/>
          <w:sz w:val="28"/>
          <w:szCs w:val="28"/>
          <w:highlight w:val="none"/>
          <w:lang w:val="en-US" w:eastAsia="zh-CN"/>
        </w:rPr>
        <w:t>（二）业绩要求：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w:t>
      </w:r>
      <w:r>
        <w:rPr>
          <w:rFonts w:hint="eastAsia" w:asciiTheme="minorEastAsia" w:hAnsiTheme="minorEastAsia" w:eastAsiaTheme="minorEastAsia" w:cstheme="minorEastAsia"/>
          <w:sz w:val="28"/>
          <w:szCs w:val="28"/>
          <w:highlight w:val="none"/>
          <w:lang w:val="en-US" w:eastAsia="zh-CN"/>
        </w:rPr>
        <w:t>个，以</w:t>
      </w:r>
      <w:r>
        <w:rPr>
          <w:rFonts w:hint="eastAsia" w:asciiTheme="minorEastAsia" w:hAnsiTheme="minorEastAsia" w:cstheme="minorEastAsia"/>
          <w:sz w:val="28"/>
          <w:szCs w:val="28"/>
          <w:highlight w:val="none"/>
          <w:u w:val="single"/>
          <w:lang w:val="en-US" w:eastAsia="zh-CN"/>
        </w:rPr>
        <w:t>/</w:t>
      </w:r>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8"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8"/>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8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交通资产管理</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有限</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责任</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西侧会议室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酒城</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大道与</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神农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亳州高铁南站金融商务中心2号楼6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0"/>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1"/>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sz w:val="28"/>
          <w:szCs w:val="28"/>
          <w:highlight w:val="none"/>
          <w:u w:val="single"/>
          <w:lang w:val="en-US" w:eastAsia="zh-CN"/>
        </w:rPr>
        <w:t>2000元整</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FFD6D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亳州交控产业发展有限公司</w:t>
      </w:r>
    </w:p>
    <w:permEnd w:id="23"/>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安徽省亳州市高新技术产业开发区酒城大道高铁南站金融商务中心2号楼</w:t>
      </w:r>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郭工 </w:t>
      </w:r>
      <w:permEnd w:id="24"/>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highlight w:val="none"/>
          <w:lang w:val="en-US" w:eastAsia="zh-CN"/>
        </w:rPr>
        <w:t xml:space="preserve">19909674983 </w:t>
      </w:r>
      <w:permEnd w:id="25"/>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平台：亳州交通投资控股集团有限公司招投标中心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址：酒城大道与神农大道交叉口西北角亳州高铁南站金融商务中心</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孙</w:t>
      </w:r>
      <w:r>
        <w:rPr>
          <w:rFonts w:hint="eastAsia" w:asciiTheme="minorEastAsia" w:hAnsiTheme="minorEastAsia" w:eastAsiaTheme="minorEastAsia" w:cstheme="minorEastAsia"/>
          <w:sz w:val="28"/>
          <w:szCs w:val="28"/>
          <w:highlight w:val="none"/>
          <w:lang w:val="en-US" w:eastAsia="zh-CN"/>
        </w:rPr>
        <w:t>工</w:t>
      </w:r>
      <w:r>
        <w:rPr>
          <w:rFonts w:hint="eastAsia" w:asciiTheme="minorEastAsia" w:hAnsiTheme="minorEastAsia" w:cstheme="minorEastAsia"/>
          <w:sz w:val="28"/>
          <w:szCs w:val="28"/>
          <w:highlight w:val="none"/>
          <w:lang w:val="en-US" w:eastAsia="zh-CN"/>
        </w:rPr>
        <w:t xml:space="preserve">  李工</w:t>
      </w:r>
      <w:bookmarkStart w:id="312" w:name="_GoBack"/>
      <w:bookmarkEnd w:id="312"/>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permStart w:id="26" w:edGrp="everyone"/>
      <w:r>
        <w:rPr>
          <w:rFonts w:hint="eastAsia" w:asciiTheme="minorEastAsia" w:hAnsiTheme="minorEastAsia" w:cstheme="minorEastAsia"/>
          <w:sz w:val="28"/>
          <w:szCs w:val="28"/>
          <w:highlight w:val="none"/>
          <w:lang w:val="en-US" w:eastAsia="zh-CN"/>
        </w:rPr>
        <w:t xml:space="preserve">0558-5998967 </w:t>
      </w:r>
      <w:permEnd w:id="26"/>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cstheme="minorEastAsia"/>
          <w:sz w:val="28"/>
          <w:szCs w:val="28"/>
          <w:highlight w:val="none"/>
          <w:lang w:val="en-US" w:eastAsia="zh-CN"/>
        </w:rPr>
        <w:t>亳州交控产业发展有限公司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 xml:space="preserve"> 8 </w:t>
      </w:r>
      <w:r>
        <w:rPr>
          <w:rFonts w:hint="eastAsia" w:asciiTheme="minorEastAsia" w:hAnsiTheme="minorEastAsia" w:eastAsiaTheme="minorEastAsia" w:cstheme="minorEastAsia"/>
          <w:color w:val="auto"/>
          <w:sz w:val="28"/>
          <w:szCs w:val="28"/>
          <w:highlight w:val="none"/>
          <w:lang w:val="en-US" w:eastAsia="zh-CN"/>
        </w:rPr>
        <w:t xml:space="preserve">月 </w:t>
      </w:r>
      <w:r>
        <w:rPr>
          <w:rFonts w:hint="eastAsia" w:asciiTheme="minorEastAsia" w:hAnsiTheme="minorEastAsia" w:cstheme="minorEastAsia"/>
          <w:color w:val="auto"/>
          <w:sz w:val="28"/>
          <w:szCs w:val="28"/>
          <w:highlight w:val="none"/>
          <w:lang w:val="en-US" w:eastAsia="zh-CN"/>
        </w:rPr>
        <w:t>19</w:t>
      </w:r>
      <w:r>
        <w:rPr>
          <w:rFonts w:hint="eastAsia" w:asciiTheme="minorEastAsia" w:hAnsiTheme="minorEastAsia" w:eastAsiaTheme="minorEastAsia" w:cstheme="minorEastAsia"/>
          <w:color w:val="auto"/>
          <w:sz w:val="28"/>
          <w:szCs w:val="28"/>
          <w:highlight w:val="none"/>
          <w:lang w:val="en-US" w:eastAsia="zh-CN"/>
        </w:rPr>
        <w:t xml:space="preserve">  日</w:t>
      </w:r>
      <w:permEnd w:id="27"/>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8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22  </w:t>
            </w:r>
            <w:r>
              <w:rPr>
                <w:rFonts w:hint="eastAsia" w:ascii="Times New Roman" w:hAnsi="Times New Roman" w:cs="Times New Roman"/>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
          <w:permEnd w:id="32"/>
          <w:p w14:paraId="31ADDCB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5" w:edGrp="everyone"/>
            <w:r>
              <w:rPr>
                <w:rFonts w:hint="eastAsia" w:ascii="Times New Roman" w:hAnsi="Times New Roman" w:cs="Times New Roman"/>
                <w:color w:val="auto"/>
                <w:szCs w:val="21"/>
                <w:highlight w:val="none"/>
                <w:u w:val="single"/>
                <w:lang w:val="en-US" w:eastAsia="zh-CN"/>
              </w:rPr>
              <w:t xml:space="preserve">  2000元整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亳州交控产业发展有限公司</w:t>
            </w:r>
          </w:p>
          <w:p w14:paraId="030B76C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亳州药都农村商业银行股份有限公司</w:t>
            </w:r>
          </w:p>
          <w:p w14:paraId="6BCC17D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银行账号：20010359271466600000013 </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color w:val="FF0000"/>
                <w:szCs w:val="21"/>
                <w:highlight w:val="none"/>
                <w:lang w:val="en-US" w:eastAsia="zh-CN"/>
              </w:rPr>
              <w:t>BZZC-2025-   009号保证金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37"/>
          </w:p>
          <w:p w14:paraId="74458B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w:t>
            </w:r>
            <w:r>
              <w:rPr>
                <w:rFonts w:hint="eastAsia" w:ascii="Times New Roman" w:hAnsi="Times New Roman" w:cs="Times New Roman"/>
                <w:color w:val="FF0000"/>
                <w:szCs w:val="21"/>
                <w:highlight w:val="none"/>
                <w:u w:val="none"/>
                <w:lang w:val="en-US" w:eastAsia="zh-CN"/>
              </w:rPr>
              <w:fldChar w:fldCharType="begin"/>
            </w:r>
            <w:r>
              <w:rPr>
                <w:rFonts w:hint="eastAsia" w:ascii="Times New Roman" w:hAnsi="Times New Roman" w:cs="Times New Roman"/>
                <w:color w:val="FF0000"/>
                <w:szCs w:val="21"/>
                <w:highlight w:val="none"/>
                <w:u w:val="none"/>
                <w:lang w:val="en-US" w:eastAsia="zh-CN"/>
              </w:rPr>
              <w:instrText xml:space="preserve"> HYPERLINK "mailto:bzjkfwbgys@163.com" </w:instrText>
            </w:r>
            <w:r>
              <w:rPr>
                <w:rFonts w:hint="eastAsia" w:ascii="Times New Roman" w:hAnsi="Times New Roman" w:cs="Times New Roman"/>
                <w:color w:val="FF0000"/>
                <w:szCs w:val="21"/>
                <w:highlight w:val="none"/>
                <w:u w:val="none"/>
                <w:lang w:val="en-US" w:eastAsia="zh-CN"/>
              </w:rPr>
              <w:fldChar w:fldCharType="separate"/>
            </w:r>
            <w:r>
              <w:rPr>
                <w:rFonts w:hint="eastAsia" w:ascii="Times New Roman" w:hAnsi="Times New Roman" w:cs="Times New Roman"/>
                <w:color w:val="FF0000"/>
                <w:szCs w:val="21"/>
                <w:highlight w:val="none"/>
                <w:u w:val="none"/>
                <w:lang w:val="en-US" w:eastAsia="zh-CN"/>
              </w:rPr>
              <w:t>414474377@qq.com</w:t>
            </w:r>
            <w:r>
              <w:rPr>
                <w:rFonts w:hint="eastAsia" w:ascii="Times New Roman" w:hAnsi="Times New Roman" w:cs="Times New Roman"/>
                <w:color w:val="FF0000"/>
                <w:szCs w:val="21"/>
                <w:highlight w:val="none"/>
                <w:u w:val="none"/>
                <w:lang w:val="en-US" w:eastAsia="zh-CN"/>
              </w:rPr>
              <w:fldChar w:fldCharType="end"/>
            </w:r>
            <w:r>
              <w:rPr>
                <w:rFonts w:hint="eastAsia" w:ascii="Times New Roman" w:hAnsi="Times New Roman" w:cs="Times New Roman"/>
                <w:color w:val="FF0000"/>
                <w:szCs w:val="21"/>
                <w:highlight w:val="none"/>
                <w:u w:val="none"/>
                <w:lang w:val="en-US" w:eastAsia="zh-CN"/>
              </w:rPr>
              <w:t>，本次项目响应文件电子版仅用于档案保存，不纳入评审范围。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开启地址：亳州交通资产管理有限责任公司2号楼6楼西侧会议室（酒城大道与神农大道交叉口西北角亳州高铁南站金融商务中心2号楼6楼）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文苑路加油站项目设备采购（标识标牌）</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single"/>
                <w:lang w:val="en-US" w:eastAsia="zh-CN"/>
              </w:rPr>
              <w:t xml:space="preserve"> 009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8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26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否，参考的成交候选人数：1-3名。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8A6C6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亳州交通资产管理有限责任公司招投标中心 孙工  </w:t>
            </w:r>
          </w:p>
          <w:p w14:paraId="24A49F4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酒城大道与神农大道交叉口西北角亳州高铁南站金融商务中心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67FC99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permStart w:id="41" w:edGrp="everyone"/>
            <w:r>
              <w:rPr>
                <w:rFonts w:hint="default" w:ascii="Times New Roman" w:hAnsi="Times New Roman" w:cs="Times New Roman"/>
                <w:color w:val="FF0000"/>
                <w:szCs w:val="21"/>
                <w:highlight w:val="none"/>
                <w:lang w:val="en-US" w:eastAsia="zh-CN"/>
              </w:rPr>
              <w:t>开户名称：</w:t>
            </w:r>
            <w:r>
              <w:rPr>
                <w:rFonts w:hint="eastAsia" w:ascii="Times New Roman" w:hAnsi="Times New Roman" w:cs="Times New Roman"/>
                <w:color w:val="FF0000"/>
                <w:szCs w:val="21"/>
                <w:highlight w:val="none"/>
                <w:lang w:val="en-US" w:eastAsia="zh-CN"/>
              </w:rPr>
              <w:t>亳州交控产业发展有限公司</w:t>
            </w:r>
          </w:p>
          <w:p w14:paraId="1ED497A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w:t>
            </w:r>
            <w:r>
              <w:rPr>
                <w:rFonts w:hint="eastAsia" w:ascii="Times New Roman" w:hAnsi="Times New Roman" w:cs="Times New Roman"/>
                <w:color w:val="FF0000"/>
                <w:szCs w:val="21"/>
                <w:highlight w:val="none"/>
                <w:lang w:val="en-US" w:eastAsia="zh-CN"/>
              </w:rPr>
              <w:t>亳州药都农村商业银行股份有限公司</w:t>
            </w:r>
          </w:p>
          <w:p w14:paraId="2379D8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 xml:space="preserve">银行账号：20010359271466600000013 </w:t>
            </w:r>
          </w:p>
          <w:p w14:paraId="101878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w:t>
            </w:r>
            <w:permEnd w:id="41"/>
          </w:p>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2"/>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3" w:edGrp="everyone"/>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b/>
                <w:bCs/>
                <w:color w:val="FF0000"/>
                <w:szCs w:val="21"/>
                <w:highlight w:val="none"/>
                <w:lang w:val="en-US" w:eastAsia="zh-CN"/>
              </w:rPr>
              <w:t xml:space="preserve">2000元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设备安装</w:t>
            </w:r>
            <w:r>
              <w:rPr>
                <w:rFonts w:hint="eastAsia" w:ascii="仿宋" w:hAnsi="仿宋" w:eastAsia="仿宋" w:cs="仿宋"/>
                <w:sz w:val="28"/>
                <w:szCs w:val="28"/>
                <w:lang w:val="en-US" w:eastAsia="zh-CN"/>
              </w:rPr>
              <w:t>、</w:t>
            </w:r>
            <w:r>
              <w:rPr>
                <w:rFonts w:hint="eastAsia" w:ascii="Times New Roman" w:hAnsi="Times New Roman" w:cs="Times New Roman"/>
                <w:szCs w:val="21"/>
                <w:highlight w:val="none"/>
                <w:lang w:val="en-US" w:eastAsia="zh-CN"/>
              </w:rPr>
              <w:t>调试及验收合格完成后退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7085692"/>
      <w:bookmarkStart w:id="17" w:name="_Toc152042308"/>
      <w:bookmarkStart w:id="18" w:name="_Toc179632549"/>
      <w:bookmarkStart w:id="19" w:name="_Toc296602423"/>
      <w:bookmarkStart w:id="20" w:name="_Toc246996921"/>
      <w:bookmarkStart w:id="21" w:name="_Toc144974500"/>
      <w:bookmarkStart w:id="22" w:name="_Toc152045532"/>
      <w:bookmarkStart w:id="23" w:name="_Toc24699617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81"/>
      <w:bookmarkStart w:id="25" w:name="_Toc247085695"/>
      <w:bookmarkStart w:id="26" w:name="_Toc152045536"/>
      <w:bookmarkStart w:id="27" w:name="_Toc144974504"/>
      <w:bookmarkStart w:id="28" w:name="_Toc296602426"/>
      <w:bookmarkStart w:id="29" w:name="_Toc179632553"/>
      <w:bookmarkStart w:id="30" w:name="_Toc152042312"/>
      <w:bookmarkStart w:id="31" w:name="_Toc24699692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79632554"/>
      <w:bookmarkStart w:id="34" w:name="_Toc296602427"/>
      <w:bookmarkStart w:id="35" w:name="_Toc246996182"/>
      <w:bookmarkStart w:id="36" w:name="_Toc247085696"/>
      <w:bookmarkStart w:id="37" w:name="_Toc246996925"/>
      <w:bookmarkStart w:id="38" w:name="_Toc152045537"/>
      <w:bookmarkStart w:id="39" w:name="_Toc152042313"/>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2314"/>
      <w:bookmarkStart w:id="41" w:name="_Toc247085697"/>
      <w:bookmarkStart w:id="42" w:name="_Toc144974506"/>
      <w:bookmarkStart w:id="43" w:name="_Toc246996926"/>
      <w:bookmarkStart w:id="44" w:name="_Toc152045538"/>
      <w:bookmarkStart w:id="45" w:name="_Toc246996183"/>
      <w:bookmarkStart w:id="46" w:name="_Toc179632555"/>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152042318"/>
      <w:bookmarkStart w:id="49" w:name="_Toc144974510"/>
      <w:bookmarkStart w:id="50" w:name="_Toc247085701"/>
      <w:bookmarkStart w:id="51" w:name="_Toc152045542"/>
      <w:bookmarkStart w:id="52" w:name="_Toc246996930"/>
      <w:bookmarkStart w:id="53" w:name="_Toc179632560"/>
      <w:bookmarkStart w:id="54" w:name="_Toc246996187"/>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96602433"/>
      <w:bookmarkStart w:id="56" w:name="_Toc246996931"/>
      <w:bookmarkStart w:id="57" w:name="_Toc246996188"/>
      <w:bookmarkStart w:id="58" w:name="_Toc247085702"/>
      <w:bookmarkStart w:id="59" w:name="_Toc152045543"/>
      <w:bookmarkStart w:id="60" w:name="_Toc152042319"/>
      <w:bookmarkStart w:id="61" w:name="_Toc179632561"/>
      <w:bookmarkStart w:id="62" w:name="_Toc14497451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179632562"/>
      <w:bookmarkStart w:id="65" w:name="_Toc246996932"/>
      <w:bookmarkStart w:id="66" w:name="_Toc152042320"/>
      <w:bookmarkStart w:id="67" w:name="_Toc296602434"/>
      <w:bookmarkStart w:id="68" w:name="_Toc246996189"/>
      <w:bookmarkStart w:id="69" w:name="_Toc144974512"/>
      <w:bookmarkStart w:id="70" w:name="_Toc15204554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79632563"/>
      <w:bookmarkStart w:id="72" w:name="_Toc296602435"/>
      <w:bookmarkStart w:id="73" w:name="_Toc152042321"/>
      <w:bookmarkStart w:id="74" w:name="_Toc152045545"/>
      <w:bookmarkStart w:id="75" w:name="_Toc247085704"/>
      <w:bookmarkStart w:id="76" w:name="_Toc246996190"/>
      <w:bookmarkStart w:id="77" w:name="_Toc144974513"/>
      <w:bookmarkStart w:id="78" w:name="_Toc24699693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7085705"/>
      <w:bookmarkStart w:id="80" w:name="_Toc144974514"/>
      <w:bookmarkStart w:id="81" w:name="_Toc152042322"/>
      <w:bookmarkStart w:id="82" w:name="_Toc152045546"/>
      <w:bookmarkStart w:id="83" w:name="_Toc296602436"/>
      <w:bookmarkStart w:id="84" w:name="_Toc246996191"/>
      <w:bookmarkStart w:id="85" w:name="_Toc179632564"/>
      <w:bookmarkStart w:id="86" w:name="_Toc24699693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79632565"/>
      <w:bookmarkStart w:id="88" w:name="_Toc247085706"/>
      <w:bookmarkStart w:id="89" w:name="_Toc296602437"/>
      <w:bookmarkStart w:id="90" w:name="_Toc152042323"/>
      <w:bookmarkStart w:id="91" w:name="_Toc246996192"/>
      <w:bookmarkStart w:id="92" w:name="_Toc152045547"/>
      <w:bookmarkStart w:id="93" w:name="_Toc144974515"/>
      <w:bookmarkStart w:id="94"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193"/>
      <w:bookmarkStart w:id="96" w:name="_Toc296602438"/>
      <w:bookmarkStart w:id="97" w:name="_Toc152045548"/>
      <w:bookmarkStart w:id="98" w:name="_Toc179632566"/>
      <w:bookmarkStart w:id="99" w:name="_Toc247085707"/>
      <w:bookmarkStart w:id="100" w:name="_Toc152042324"/>
      <w:bookmarkStart w:id="101" w:name="_Toc246996936"/>
      <w:bookmarkStart w:id="102" w:name="_Toc14497451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79632567"/>
      <w:bookmarkStart w:id="104" w:name="_Toc144974517"/>
      <w:bookmarkStart w:id="105" w:name="_Toc152042325"/>
      <w:bookmarkStart w:id="106"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96602439"/>
      <w:bookmarkStart w:id="109" w:name="_Toc246996937"/>
      <w:bookmarkStart w:id="110" w:name="_Toc247085708"/>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2331"/>
      <w:bookmarkStart w:id="112" w:name="_Toc247085713"/>
      <w:bookmarkStart w:id="113" w:name="_Toc246996942"/>
      <w:bookmarkStart w:id="114" w:name="_Toc179632573"/>
      <w:bookmarkStart w:id="115" w:name="_Toc152045555"/>
      <w:bookmarkStart w:id="116" w:name="_Toc144974523"/>
      <w:bookmarkStart w:id="117" w:name="_Toc296602443"/>
      <w:bookmarkStart w:id="118" w:name="_Toc246996199"/>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24"/>
      <w:bookmarkStart w:id="120" w:name="_Toc247085714"/>
      <w:bookmarkStart w:id="121" w:name="_Toc246996943"/>
      <w:bookmarkStart w:id="122" w:name="_Toc246996200"/>
      <w:bookmarkStart w:id="123" w:name="_Toc179632574"/>
      <w:bookmarkStart w:id="124" w:name="_Toc152042332"/>
      <w:bookmarkStart w:id="125" w:name="_Toc296602444"/>
      <w:bookmarkStart w:id="126" w:name="_Toc152045556"/>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246996201"/>
      <w:bookmarkStart w:id="129" w:name="_Toc152042333"/>
      <w:bookmarkStart w:id="130" w:name="_Toc152045557"/>
      <w:bookmarkStart w:id="131" w:name="_Toc179632575"/>
      <w:bookmarkStart w:id="132" w:name="_Toc247085715"/>
      <w:bookmarkStart w:id="133"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246996202"/>
      <w:bookmarkStart w:id="136" w:name="_Toc247085716"/>
      <w:bookmarkStart w:id="137" w:name="_Toc152042334"/>
      <w:bookmarkStart w:id="138" w:name="_Toc179632576"/>
      <w:bookmarkStart w:id="139" w:name="_Toc246996945"/>
      <w:bookmarkStart w:id="140" w:name="_Toc144974526"/>
      <w:bookmarkStart w:id="141" w:name="_Toc152045558"/>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44974527"/>
      <w:bookmarkStart w:id="143" w:name="_Toc296602447"/>
      <w:bookmarkStart w:id="144" w:name="_Toc247085717"/>
      <w:bookmarkStart w:id="145" w:name="_Toc152045559"/>
      <w:bookmarkStart w:id="146" w:name="_Toc152042335"/>
      <w:bookmarkStart w:id="147" w:name="_Toc246996946"/>
      <w:bookmarkStart w:id="148" w:name="_Toc246996203"/>
      <w:bookmarkStart w:id="149" w:name="_Toc17963257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44974528"/>
      <w:bookmarkStart w:id="151" w:name="_Toc247085718"/>
      <w:bookmarkStart w:id="152" w:name="_Toc246996204"/>
      <w:bookmarkStart w:id="153" w:name="_Toc246996947"/>
      <w:bookmarkStart w:id="154" w:name="_Toc296602448"/>
      <w:bookmarkStart w:id="155" w:name="_Toc152042336"/>
      <w:bookmarkStart w:id="156" w:name="_Toc179632578"/>
      <w:bookmarkStart w:id="157"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44974529"/>
      <w:bookmarkStart w:id="159" w:name="_Toc246996948"/>
      <w:bookmarkStart w:id="160" w:name="_Toc152045561"/>
      <w:bookmarkStart w:id="161" w:name="_Toc246996205"/>
      <w:bookmarkStart w:id="162" w:name="_Toc247085719"/>
      <w:bookmarkStart w:id="163" w:name="_Toc152042337"/>
      <w:bookmarkStart w:id="164" w:name="_Toc296602449"/>
      <w:bookmarkStart w:id="165" w:name="_Toc17963257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2"/>
      <w:bookmarkStart w:id="167" w:name="_Toc179632581"/>
      <w:bookmarkStart w:id="168" w:name="_Toc247085721"/>
      <w:bookmarkStart w:id="169" w:name="_Toc246996207"/>
      <w:bookmarkStart w:id="170" w:name="_Toc144974531"/>
      <w:bookmarkStart w:id="171" w:name="_Toc152045563"/>
      <w:bookmarkStart w:id="172" w:name="_Toc152042339"/>
      <w:bookmarkStart w:id="173" w:name="_Toc246996950"/>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96602455"/>
      <w:bookmarkStart w:id="175" w:name="_Toc144974534"/>
      <w:bookmarkStart w:id="176" w:name="_Toc247085724"/>
      <w:bookmarkStart w:id="177" w:name="_Toc246996953"/>
      <w:bookmarkStart w:id="178" w:name="_Toc152042342"/>
      <w:bookmarkStart w:id="179" w:name="_Toc152045566"/>
      <w:bookmarkStart w:id="180" w:name="_Toc246996210"/>
      <w:bookmarkStart w:id="181" w:name="_Toc17963258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246996211"/>
      <w:bookmarkStart w:id="184" w:name="_Toc144974535"/>
      <w:bookmarkStart w:id="185" w:name="_Toc152042343"/>
      <w:bookmarkStart w:id="186" w:name="_Toc246996954"/>
      <w:bookmarkStart w:id="187" w:name="_Toc152045567"/>
      <w:bookmarkStart w:id="188" w:name="_Toc296602456"/>
      <w:bookmarkStart w:id="189" w:name="_Toc24708572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w:t>
      </w:r>
      <w:r>
        <w:rPr>
          <w:rFonts w:hint="eastAsia"/>
          <w:lang w:eastAsia="zh-CN"/>
        </w:rPr>
        <w:t>参考</w:t>
      </w:r>
      <w:r>
        <w:rPr>
          <w:rFonts w:hint="eastAsia"/>
        </w:rPr>
        <w:t>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44974536"/>
      <w:bookmarkStart w:id="192" w:name="_Toc296602458"/>
      <w:bookmarkStart w:id="193" w:name="_Toc247085726"/>
      <w:bookmarkStart w:id="194" w:name="_Toc152042344"/>
      <w:bookmarkStart w:id="195" w:name="_Toc246996212"/>
      <w:bookmarkStart w:id="196" w:name="_Toc152045568"/>
      <w:bookmarkStart w:id="197" w:name="_Toc179632586"/>
      <w:bookmarkStart w:id="198" w:name="_Toc246996955"/>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52045569"/>
      <w:bookmarkStart w:id="200" w:name="_Toc144974537"/>
      <w:bookmarkStart w:id="201" w:name="_Toc246996213"/>
      <w:bookmarkStart w:id="202" w:name="_Toc246996956"/>
      <w:bookmarkStart w:id="203" w:name="_Toc296602459"/>
      <w:bookmarkStart w:id="204" w:name="_Toc247085727"/>
      <w:bookmarkStart w:id="205" w:name="_Toc152042345"/>
      <w:bookmarkStart w:id="206" w:name="_Toc17963258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602462"/>
      <w:bookmarkStart w:id="209" w:name="_Toc247085733"/>
      <w:bookmarkStart w:id="210" w:name="_Toc152045575"/>
      <w:bookmarkStart w:id="211" w:name="_Toc246996962"/>
      <w:bookmarkStart w:id="212" w:name="_Toc296590983"/>
      <w:bookmarkStart w:id="213" w:name="_Toc152042351"/>
      <w:bookmarkStart w:id="214" w:name="_Toc144974543"/>
      <w:bookmarkStart w:id="215" w:name="_Toc179632593"/>
      <w:bookmarkStart w:id="216" w:name="_Toc246996219"/>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44974544"/>
      <w:bookmarkStart w:id="218" w:name="_Toc296602463"/>
      <w:bookmarkStart w:id="219" w:name="_Toc246996963"/>
      <w:bookmarkStart w:id="220" w:name="_Toc179632594"/>
      <w:bookmarkStart w:id="221" w:name="_Toc152042352"/>
      <w:bookmarkStart w:id="222" w:name="_Toc247085734"/>
      <w:bookmarkStart w:id="223" w:name="_Toc246996220"/>
      <w:bookmarkStart w:id="224" w:name="_Toc152045576"/>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96602464"/>
      <w:bookmarkStart w:id="226" w:name="_Toc152045577"/>
      <w:bookmarkStart w:id="227" w:name="_Toc144974545"/>
      <w:bookmarkStart w:id="228" w:name="_Toc152042353"/>
      <w:bookmarkStart w:id="229" w:name="_Toc246996221"/>
      <w:bookmarkStart w:id="230" w:name="_Toc247085735"/>
      <w:bookmarkStart w:id="231" w:name="_Toc246996964"/>
      <w:bookmarkStart w:id="232" w:name="_Toc17963259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合理低价法</w:t>
      </w:r>
      <w:permEnd w:id="4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1C40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D909C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975"/>
            <w:bookmarkStart w:id="234" w:name="_Toc179632607"/>
            <w:bookmarkStart w:id="235" w:name="_Toc296602477"/>
            <w:bookmarkStart w:id="236" w:name="_Toc152042366"/>
            <w:bookmarkStart w:id="237" w:name="_Toc246996232"/>
            <w:bookmarkStart w:id="238" w:name="_Toc144974556"/>
            <w:bookmarkStart w:id="239" w:name="_Toc247085747"/>
            <w:bookmarkStart w:id="240" w:name="_Toc152045589"/>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D8C0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50B7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9C678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7A14D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2E18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427B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135D1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625A4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6F1A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A925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99EA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822D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AD28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3799F2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0A9B6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F4E02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D447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42543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5C5B5F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B292C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95F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7A8DC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3CF80B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D1CD8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1A1E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89AB6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03DA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C430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FA31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B4B36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285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9AC5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E1D1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218D1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A0433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A8A16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B08F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02F0D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484E4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012F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66B2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A4BC5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9F1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2C825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C138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58B1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A6F88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0AC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CE04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0100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5360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FDB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65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0A3CE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1338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BCC4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D73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B959E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sz w:val="24"/>
          <w:szCs w:val="24"/>
          <w:u w:val="none"/>
          <w:lang w:val="en-US" w:eastAsia="zh-CN"/>
        </w:rPr>
      </w:pPr>
      <w:r>
        <w:rPr>
          <w:rFonts w:hint="eastAsia" w:asciiTheme="minorEastAsia" w:hAnsiTheme="minorEastAsia" w:eastAsiaTheme="minorEastAsia" w:cstheme="minorEastAsia"/>
          <w:kern w:val="2"/>
          <w:sz w:val="24"/>
          <w:szCs w:val="24"/>
          <w:lang w:val="en-US" w:eastAsia="zh-CN" w:bidi="ar-SA"/>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74E437E3">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sz w:val="24"/>
          <w:szCs w:val="24"/>
          <w:u w:val="none"/>
          <w:lang w:val="en-US" w:eastAsia="zh-CN"/>
        </w:rPr>
      </w:pPr>
    </w:p>
    <w:p w14:paraId="64C3C8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sz w:val="24"/>
          <w:lang w:val="en-US" w:eastAsia="zh-CN"/>
        </w:rPr>
      </w:pPr>
      <w:bookmarkStart w:id="241" w:name="_Toc179632611"/>
      <w:bookmarkStart w:id="242" w:name="_Toc246996979"/>
      <w:bookmarkStart w:id="243" w:name="_Toc247085751"/>
      <w:bookmarkStart w:id="244" w:name="_Toc296602481"/>
      <w:bookmarkStart w:id="245" w:name="_Toc246996236"/>
      <w:bookmarkStart w:id="246" w:name="_Toc152045593"/>
      <w:bookmarkStart w:id="247" w:name="_Toc152042370"/>
      <w:bookmarkStart w:id="248" w:name="_Toc144974560"/>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0D08C71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562A2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7289D7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6" w:edGrp="everyone" w:colFirst="0" w:colLast="0"/>
            <w:permStart w:id="47" w:edGrp="everyone" w:colFirst="1" w:colLast="1"/>
            <w:permStart w:id="48" w:edGrp="everyone" w:colFirst="2" w:colLast="2"/>
            <w:r>
              <w:rPr>
                <w:rFonts w:hint="eastAsia" w:ascii="Times New Roman" w:hAnsi="Times New Roman" w:cs="Times New Roman"/>
                <w:kern w:val="0"/>
                <w:sz w:val="24"/>
                <w:szCs w:val="24"/>
                <w:highlight w:val="none"/>
                <w:lang w:val="en-US" w:eastAsia="zh-CN"/>
              </w:rPr>
              <w:t>合理低价法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57570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0EF5EE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以评审合格的供应商的响应报价为有效报价：</w:t>
            </w:r>
          </w:p>
          <w:p w14:paraId="2EB3678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（1）有效报价为10家及以上时，去掉2个最高价和2个最低价，取余下供应商的报价算术平均值作为评审基准价；</w:t>
            </w:r>
          </w:p>
          <w:p w14:paraId="3FB06F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（2）有效报价为6（含）家至 10（不含）家时，去掉1个最高价和1个最低价，取余下供应商的报价进行算术平均值作为评审基准价；</w:t>
            </w:r>
          </w:p>
          <w:p w14:paraId="07CD3F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（3）有效报价在6家以下时，取所有供应商的报价进行算术平均值作为评审基准价；</w:t>
            </w:r>
          </w:p>
          <w:p w14:paraId="391A7E6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取所有纳入评审基准价计算的响应报价与评审基准价相减，其差值绝对值最小的为第一名，次小的为第二名……以此类推；差值绝对值相同的，以响应报价低的优先；响应报价也相同的，由采购人或其授权的评审委员会自行确定排序（一般宜采用投票制）。</w:t>
            </w:r>
          </w:p>
          <w:p w14:paraId="2696FE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（说明：去掉1个或 2个最高价，是指按照有效报价排序，从排序最高的有效报价依次去掉；去掉1个或2个最低价，是指按照有效报价排序，从排序最低的有效报价依次去掉。</w:t>
            </w:r>
          </w:p>
        </w:tc>
      </w:tr>
      <w:permEnd w:id="46"/>
      <w:permEnd w:id="47"/>
      <w:permEnd w:id="48"/>
    </w:tbl>
    <w:p w14:paraId="6DAD5FA8">
      <w:pPr>
        <w:rPr>
          <w:rFonts w:hint="eastAsia" w:ascii="Times New Roman" w:hAnsi="Times New Roman" w:cs="Times New Roman" w:eastAsiaTheme="minorEastAsia"/>
          <w:b/>
          <w:bCs/>
          <w:kern w:val="0"/>
          <w:sz w:val="28"/>
          <w:szCs w:val="28"/>
          <w:highlight w:val="none"/>
          <w:lang w:eastAsia="zh-CN"/>
        </w:rPr>
      </w:pPr>
    </w:p>
    <w:p w14:paraId="6F53FF91">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合理低价法）</w:t>
      </w:r>
    </w:p>
    <w:p w14:paraId="0F83D5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采用合理低价法。评标委员会对满足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文件，按照本章</w:t>
      </w:r>
      <w:r>
        <w:rPr>
          <w:rFonts w:hint="eastAsia" w:ascii="Times New Roman" w:hAnsi="Times New Roman" w:cs="Times New Roman"/>
          <w:kern w:val="0"/>
          <w:sz w:val="24"/>
          <w:szCs w:val="24"/>
          <w:highlight w:val="none"/>
          <w:lang w:val="en-US" w:eastAsia="zh-CN"/>
        </w:rPr>
        <w:t>评审程序</w:t>
      </w:r>
      <w:r>
        <w:rPr>
          <w:rFonts w:hint="default" w:ascii="Times New Roman" w:hAnsi="Times New Roman" w:cs="Times New Roman" w:eastAsiaTheme="minorEastAsia"/>
          <w:kern w:val="0"/>
          <w:sz w:val="24"/>
          <w:szCs w:val="24"/>
          <w:highlight w:val="none"/>
        </w:rPr>
        <w:t>中的评</w:t>
      </w:r>
      <w:r>
        <w:rPr>
          <w:rFonts w:hint="eastAsia" w:ascii="Times New Roman" w:hAnsi="Times New Roman" w:cs="Times New Roman"/>
          <w:kern w:val="0"/>
          <w:sz w:val="24"/>
          <w:szCs w:val="24"/>
          <w:highlight w:val="none"/>
          <w:lang w:val="en-US" w:eastAsia="zh-CN"/>
        </w:rPr>
        <w:t>审规则</w:t>
      </w:r>
      <w:r>
        <w:rPr>
          <w:rFonts w:hint="eastAsia" w:ascii="Times New Roman" w:hAnsi="Times New Roman" w:cs="Times New Roman"/>
          <w:kern w:val="0"/>
          <w:sz w:val="24"/>
          <w:szCs w:val="24"/>
          <w:highlight w:val="none"/>
          <w:lang w:eastAsia="zh-CN"/>
        </w:rPr>
        <w:t>参考</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或根据采购人授权直接确定成交人，但报价低于其成本的除外。报价绝对差值相等时，以报价低的优先；报价也相等的，由采购人或其授权的评审委员会自行确定。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239"/>
      <w:bookmarkStart w:id="251" w:name="_Toc152042373"/>
      <w:bookmarkStart w:id="252" w:name="_Toc179632614"/>
      <w:bookmarkStart w:id="253" w:name="_Toc152045596"/>
      <w:bookmarkStart w:id="254" w:name="_Toc296602484"/>
      <w:bookmarkStart w:id="255" w:name="_Toc247085754"/>
      <w:bookmarkStart w:id="256"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本询比文件的规定参考成交候选人。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款规定</w:t>
      </w:r>
      <w:r>
        <w:rPr>
          <w:rFonts w:hint="eastAsia" w:ascii="Times New Roman" w:hAnsi="Times New Roman" w:cs="Times New Roman"/>
          <w:kern w:val="0"/>
          <w:sz w:val="24"/>
          <w:szCs w:val="24"/>
          <w:highlight w:val="none"/>
          <w:lang w:eastAsia="zh-CN"/>
        </w:rPr>
        <w:t>参考</w:t>
      </w:r>
      <w:r>
        <w:rPr>
          <w:rFonts w:hint="eastAsia" w:ascii="Times New Roman" w:hAnsi="Times New Roman" w:cs="Times New Roman" w:eastAsiaTheme="minorEastAsia"/>
          <w:kern w:val="0"/>
          <w:sz w:val="24"/>
          <w:szCs w:val="24"/>
          <w:highlight w:val="none"/>
        </w:rPr>
        <w:t xml:space="preserve">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w:t>
      </w:r>
      <w:r>
        <w:rPr>
          <w:rFonts w:hint="eastAsia" w:ascii="Times New Roman" w:hAnsi="Times New Roman" w:cs="Times New Roman"/>
          <w:kern w:val="0"/>
          <w:sz w:val="24"/>
          <w:szCs w:val="24"/>
          <w:highlight w:val="none"/>
          <w:lang w:eastAsia="zh-CN"/>
        </w:rPr>
        <w:t>参考</w:t>
      </w:r>
      <w:r>
        <w:rPr>
          <w:rFonts w:hint="eastAsia" w:ascii="Times New Roman" w:hAnsi="Times New Roman" w:cs="Times New Roman" w:eastAsiaTheme="minorEastAsia"/>
          <w:kern w:val="0"/>
          <w:sz w:val="24"/>
          <w:szCs w:val="24"/>
          <w:highlight w:val="none"/>
        </w:rPr>
        <w:t>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9" w:edGrp="everyone"/>
            <w:r>
              <w:rPr>
                <w:rFonts w:hint="eastAsia" w:ascii="Times New Roman" w:hAnsi="Times New Roman" w:cs="Times New Roman"/>
                <w:kern w:val="0"/>
                <w:sz w:val="24"/>
                <w:szCs w:val="24"/>
                <w:highlight w:val="none"/>
                <w:shd w:val="clear" w:color="auto" w:fill="auto"/>
                <w:vertAlign w:val="baseline"/>
                <w:lang w:val="en-US" w:eastAsia="zh-CN"/>
              </w:rPr>
              <w:t xml:space="preserve">  </w:t>
            </w:r>
            <w:r>
              <w:rPr>
                <w:rFonts w:hint="eastAsia" w:ascii="Times New Roman" w:hAnsi="Times New Roman" w:cs="Times New Roman"/>
                <w:color w:val="auto"/>
                <w:kern w:val="0"/>
                <w:sz w:val="24"/>
                <w:szCs w:val="24"/>
                <w:highlight w:val="none"/>
                <w:shd w:val="clear" w:color="auto" w:fill="auto"/>
                <w:vertAlign w:val="baseline"/>
                <w:lang w:val="en-US" w:eastAsia="zh-CN"/>
              </w:rPr>
              <w:t>亳州交控产业发展有限公司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49"/>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50" w:edGrp="everyone"/>
            <w:r>
              <w:rPr>
                <w:rFonts w:hint="eastAsia" w:asciiTheme="minorEastAsia" w:hAnsiTheme="minorEastAsia" w:cstheme="minorEastAsia"/>
                <w:i w:val="0"/>
                <w:iCs w:val="0"/>
                <w:color w:val="auto"/>
                <w:kern w:val="0"/>
                <w:sz w:val="24"/>
                <w:szCs w:val="24"/>
                <w:highlight w:val="none"/>
                <w:u w:val="single"/>
                <w:shd w:val="clear" w:color="auto" w:fill="auto"/>
                <w:vertAlign w:val="baseline"/>
                <w:lang w:val="en-US" w:eastAsia="zh-CN"/>
              </w:rPr>
              <w:t>预付款30%，</w:t>
            </w:r>
            <w:r>
              <w:rPr>
                <w:rFonts w:hint="eastAsia" w:asciiTheme="minorEastAsia" w:hAnsiTheme="minorEastAsia" w:eastAsiaTheme="minorEastAsia" w:cstheme="minorEastAsia"/>
                <w:i w:val="0"/>
                <w:iCs w:val="0"/>
                <w:color w:val="auto"/>
                <w:kern w:val="0"/>
                <w:sz w:val="24"/>
                <w:szCs w:val="24"/>
                <w:highlight w:val="none"/>
                <w:u w:val="single"/>
                <w:shd w:val="clear" w:color="auto" w:fill="auto"/>
                <w:vertAlign w:val="baseline"/>
                <w:lang w:val="en-US" w:eastAsia="zh-CN"/>
              </w:rPr>
              <w:t>项目验收完成后支付</w:t>
            </w:r>
            <w:r>
              <w:rPr>
                <w:rFonts w:hint="eastAsia" w:asciiTheme="minorEastAsia" w:hAnsiTheme="minorEastAsia" w:cstheme="minorEastAsia"/>
                <w:i w:val="0"/>
                <w:iCs w:val="0"/>
                <w:color w:val="auto"/>
                <w:kern w:val="0"/>
                <w:sz w:val="24"/>
                <w:szCs w:val="24"/>
                <w:highlight w:val="none"/>
                <w:u w:val="single"/>
                <w:shd w:val="clear" w:color="auto" w:fill="auto"/>
                <w:vertAlign w:val="baseline"/>
                <w:lang w:val="en-US" w:eastAsia="zh-CN"/>
              </w:rPr>
              <w:t>至</w:t>
            </w:r>
            <w:r>
              <w:rPr>
                <w:rFonts w:hint="eastAsia" w:asciiTheme="minorEastAsia" w:hAnsiTheme="minorEastAsia" w:eastAsiaTheme="minorEastAsia" w:cstheme="minorEastAsia"/>
                <w:i w:val="0"/>
                <w:iCs w:val="0"/>
                <w:color w:val="auto"/>
                <w:kern w:val="0"/>
                <w:sz w:val="24"/>
                <w:szCs w:val="24"/>
                <w:highlight w:val="none"/>
                <w:u w:val="single"/>
                <w:shd w:val="clear" w:color="auto" w:fill="auto"/>
                <w:vertAlign w:val="baseline"/>
                <w:lang w:val="en-US" w:eastAsia="zh-CN"/>
              </w:rPr>
              <w:t>合同金额</w:t>
            </w:r>
            <w:r>
              <w:rPr>
                <w:rFonts w:hint="eastAsia" w:asciiTheme="minorEastAsia" w:hAnsiTheme="minorEastAsia" w:cstheme="minorEastAsia"/>
                <w:i w:val="0"/>
                <w:iCs w:val="0"/>
                <w:color w:val="auto"/>
                <w:kern w:val="0"/>
                <w:sz w:val="24"/>
                <w:szCs w:val="24"/>
                <w:highlight w:val="none"/>
                <w:u w:val="single"/>
                <w:shd w:val="clear" w:color="auto" w:fill="auto"/>
                <w:vertAlign w:val="baseline"/>
                <w:lang w:val="en-US" w:eastAsia="zh-CN"/>
              </w:rPr>
              <w:t>的</w:t>
            </w:r>
            <w:r>
              <w:rPr>
                <w:rFonts w:hint="eastAsia" w:asciiTheme="minorEastAsia" w:hAnsiTheme="minorEastAsia" w:eastAsiaTheme="minorEastAsia" w:cstheme="minorEastAsia"/>
                <w:i w:val="0"/>
                <w:iCs w:val="0"/>
                <w:color w:val="auto"/>
                <w:kern w:val="0"/>
                <w:sz w:val="24"/>
                <w:szCs w:val="24"/>
                <w:highlight w:val="none"/>
                <w:u w:val="single"/>
                <w:shd w:val="clear" w:color="auto" w:fill="auto"/>
                <w:vertAlign w:val="baseline"/>
                <w:lang w:val="en-US" w:eastAsia="zh-CN"/>
              </w:rPr>
              <w:t>97%，3%作为质保金待质保期满后一次性付清。</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ermEnd w:id="50"/>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1" w:edGrp="everyone"/>
            <w:r>
              <w:rPr>
                <w:rFonts w:hint="eastAsia" w:asciiTheme="minorEastAsia" w:hAnsiTheme="minorEastAsia" w:cstheme="minorEastAsia"/>
                <w:color w:val="auto"/>
                <w:kern w:val="0"/>
                <w:sz w:val="24"/>
                <w:szCs w:val="24"/>
                <w:highlight w:val="none"/>
                <w:shd w:val="clear" w:color="auto" w:fill="auto"/>
                <w:vertAlign w:val="baseline"/>
                <w:lang w:val="en-US" w:eastAsia="zh-CN"/>
              </w:rPr>
              <w:t>质保期12</w:t>
            </w:r>
            <w:r>
              <w:rPr>
                <w:rFonts w:hint="eastAsia" w:asciiTheme="minorEastAsia" w:hAnsiTheme="minorEastAsia" w:eastAsiaTheme="minorEastAsia" w:cstheme="minorEastAsia"/>
                <w:color w:val="auto"/>
                <w:kern w:val="0"/>
                <w:sz w:val="24"/>
                <w:szCs w:val="24"/>
                <w:highlight w:val="none"/>
                <w:shd w:val="clear" w:color="auto" w:fill="auto"/>
                <w:vertAlign w:val="baseline"/>
                <w:lang w:val="en-US" w:eastAsia="zh-CN"/>
              </w:rPr>
              <w:t>个月。</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permEnd w:id="51"/>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5162A2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F6C718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4986DD5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9D7F71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52" w:edGrp="everyone"/>
      <w:r>
        <w:rPr>
          <w:rFonts w:hint="eastAsia" w:ascii="Times New Roman" w:hAnsi="Times New Roman" w:cs="Times New Roman"/>
          <w:b/>
          <w:bCs/>
          <w:kern w:val="0"/>
          <w:sz w:val="28"/>
          <w:szCs w:val="28"/>
          <w:highlight w:val="none"/>
          <w:lang w:val="en-US" w:eastAsia="zh-CN"/>
        </w:rPr>
        <w:t>一、项目概况及总体要求</w:t>
      </w:r>
    </w:p>
    <w:p w14:paraId="6CE172E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1.供货地点：供应商需按采购人要求，将货物运送至文苑路东侧、月季路以南、崇文路以西、亳芜大道北侧。​</w:t>
      </w:r>
    </w:p>
    <w:p w14:paraId="1465E8C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2.合同签订：合同模板参照询比文件第四章相关内容。</w:t>
      </w:r>
    </w:p>
    <w:p w14:paraId="72F7155A">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文苑路加油站设备需求清单</w:t>
      </w: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（供应商在提交响应文件时，满足下述清单中要求，要求供应商提供产品档次不低于参考品牌）</w:t>
      </w:r>
    </w:p>
    <w:tbl>
      <w:tblPr>
        <w:tblStyle w:val="19"/>
        <w:tblpPr w:leftFromText="180" w:rightFromText="180" w:vertAnchor="text" w:horzAnchor="page" w:tblpX="1267" w:tblpY="524"/>
        <w:tblOverlap w:val="never"/>
        <w:tblW w:w="100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99"/>
        <w:gridCol w:w="945"/>
        <w:gridCol w:w="599"/>
        <w:gridCol w:w="986"/>
        <w:gridCol w:w="2495"/>
        <w:gridCol w:w="4416"/>
      </w:tblGrid>
      <w:tr w14:paraId="5B877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9" w:hRule="atLeast"/>
        </w:trPr>
        <w:tc>
          <w:tcPr>
            <w:tcW w:w="1004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13F68">
            <w:pPr>
              <w:keepNext w:val="0"/>
              <w:keepLines w:val="0"/>
              <w:widowControl/>
              <w:suppressLineNumbers w:val="0"/>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文苑路加油站标识标牌需求清单</w:t>
            </w:r>
          </w:p>
        </w:tc>
      </w:tr>
      <w:tr w14:paraId="331D4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7A9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1FE4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1039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02D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详情</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E7B7">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98DFF">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参考样式图</w:t>
            </w:r>
          </w:p>
        </w:tc>
      </w:tr>
      <w:tr w14:paraId="53796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3"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EF2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532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油品灯箱</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1C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4套</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C3E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每个加油机1套</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858F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尺寸1.9m*0.48m，4mm亚克力材质，1.0厚镀锌板骨架，侧挂安装，标识内容与加油枪油品相对应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DAAB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inline distT="0" distB="0" distL="114300" distR="114300">
                  <wp:extent cx="2648585" cy="1766570"/>
                  <wp:effectExtent l="0" t="0" r="18415" b="5080"/>
                  <wp:docPr id="2" name="图片 2" descr="37845876762cf5e19196aaa322179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7845876762cf5e19196aaa322179d17"/>
                          <pic:cNvPicPr>
                            <a:picLocks noChangeAspect="1"/>
                          </pic:cNvPicPr>
                        </pic:nvPicPr>
                        <pic:blipFill>
                          <a:blip r:embed="rId9"/>
                          <a:stretch>
                            <a:fillRect/>
                          </a:stretch>
                        </pic:blipFill>
                        <pic:spPr>
                          <a:xfrm>
                            <a:off x="0" y="0"/>
                            <a:ext cx="2648585" cy="1766570"/>
                          </a:xfrm>
                          <a:prstGeom prst="rect">
                            <a:avLst/>
                          </a:prstGeom>
                        </pic:spPr>
                      </pic:pic>
                    </a:graphicData>
                  </a:graphic>
                </wp:inline>
              </w:drawing>
            </w:r>
          </w:p>
        </w:tc>
      </w:tr>
      <w:tr w14:paraId="39482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40" w:hRule="atLeast"/>
        </w:trPr>
        <w:tc>
          <w:tcPr>
            <w:tcW w:w="707" w:type="dxa"/>
            <w:vMerge w:val="restart"/>
            <w:tcBorders>
              <w:top w:val="single" w:color="000000" w:sz="4" w:space="0"/>
              <w:left w:val="single" w:color="000000" w:sz="4" w:space="0"/>
              <w:bottom w:val="nil"/>
              <w:right w:val="single" w:color="000000" w:sz="4" w:space="0"/>
            </w:tcBorders>
            <w:shd w:val="clear" w:color="auto" w:fill="auto"/>
            <w:vAlign w:val="center"/>
          </w:tcPr>
          <w:p w14:paraId="41CCDA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87" w:type="dxa"/>
            <w:vMerge w:val="restart"/>
            <w:tcBorders>
              <w:top w:val="single" w:color="000000" w:sz="4" w:space="0"/>
              <w:left w:val="single" w:color="000000" w:sz="4" w:space="0"/>
              <w:bottom w:val="nil"/>
              <w:right w:val="single" w:color="000000" w:sz="4" w:space="0"/>
            </w:tcBorders>
            <w:shd w:val="clear" w:color="auto" w:fill="auto"/>
            <w:vAlign w:val="center"/>
          </w:tcPr>
          <w:p w14:paraId="3BBD3D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加油站安全、警示标识标牌</w:t>
            </w: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96D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FB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顾客进站须知立牌</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B363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4FA2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714500" cy="1146810"/>
                  <wp:effectExtent l="0" t="0" r="0" b="15240"/>
                  <wp:wrapNone/>
                  <wp:docPr id="14" name="图片_4"/>
                  <wp:cNvGraphicFramePr/>
                  <a:graphic xmlns:a="http://schemas.openxmlformats.org/drawingml/2006/main">
                    <a:graphicData uri="http://schemas.openxmlformats.org/drawingml/2006/picture">
                      <pic:pic xmlns:pic="http://schemas.openxmlformats.org/drawingml/2006/picture">
                        <pic:nvPicPr>
                          <pic:cNvPr id="14" name="图片_4"/>
                          <pic:cNvPicPr/>
                        </pic:nvPicPr>
                        <pic:blipFill>
                          <a:blip r:embed="rId10"/>
                          <a:stretch>
                            <a:fillRect/>
                          </a:stretch>
                        </pic:blipFill>
                        <pic:spPr>
                          <a:xfrm>
                            <a:off x="0" y="0"/>
                            <a:ext cx="1714500" cy="1146810"/>
                          </a:xfrm>
                          <a:prstGeom prst="rect">
                            <a:avLst/>
                          </a:prstGeom>
                          <a:noFill/>
                          <a:ln>
                            <a:noFill/>
                          </a:ln>
                        </pic:spPr>
                      </pic:pic>
                    </a:graphicData>
                  </a:graphic>
                </wp:anchor>
              </w:drawing>
            </w:r>
          </w:p>
        </w:tc>
      </w:tr>
      <w:tr w14:paraId="4685F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8" w:hRule="atLeast"/>
        </w:trPr>
        <w:tc>
          <w:tcPr>
            <w:tcW w:w="707" w:type="dxa"/>
            <w:vMerge w:val="continue"/>
            <w:tcBorders>
              <w:top w:val="single" w:color="000000" w:sz="4" w:space="0"/>
              <w:left w:val="single" w:color="000000" w:sz="4" w:space="0"/>
              <w:bottom w:val="nil"/>
              <w:right w:val="single" w:color="000000" w:sz="4" w:space="0"/>
            </w:tcBorders>
            <w:shd w:val="clear" w:color="auto" w:fill="auto"/>
            <w:vAlign w:val="center"/>
          </w:tcPr>
          <w:p w14:paraId="40C2064F">
            <w:pPr>
              <w:jc w:val="center"/>
              <w:rPr>
                <w:rFonts w:hint="eastAsia" w:ascii="宋体" w:hAnsi="宋体" w:eastAsia="宋体" w:cs="宋体"/>
                <w:i w:val="0"/>
                <w:iCs w:val="0"/>
                <w:color w:val="000000"/>
                <w:sz w:val="22"/>
                <w:szCs w:val="22"/>
                <w:u w:val="none"/>
              </w:rPr>
            </w:pPr>
          </w:p>
        </w:tc>
        <w:tc>
          <w:tcPr>
            <w:tcW w:w="1387" w:type="dxa"/>
            <w:vMerge w:val="continue"/>
            <w:tcBorders>
              <w:top w:val="single" w:color="000000" w:sz="4" w:space="0"/>
              <w:left w:val="single" w:color="000000" w:sz="4" w:space="0"/>
              <w:bottom w:val="nil"/>
              <w:right w:val="single" w:color="000000" w:sz="4" w:space="0"/>
            </w:tcBorders>
            <w:shd w:val="clear" w:color="auto" w:fill="auto"/>
            <w:vAlign w:val="center"/>
          </w:tcPr>
          <w:p w14:paraId="4E48800B">
            <w:pPr>
              <w:jc w:val="center"/>
              <w:rPr>
                <w:rFonts w:hint="eastAsia" w:ascii="宋体" w:hAnsi="宋体" w:eastAsia="宋体" w:cs="宋体"/>
                <w:i w:val="0"/>
                <w:iCs w:val="0"/>
                <w:color w:val="000000"/>
                <w:sz w:val="22"/>
                <w:szCs w:val="2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1B2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586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卸油十步法立牌</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183D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6D16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739900" cy="868680"/>
                  <wp:effectExtent l="0" t="0" r="12700" b="7620"/>
                  <wp:wrapNone/>
                  <wp:docPr id="15" name="图片_5"/>
                  <wp:cNvGraphicFramePr/>
                  <a:graphic xmlns:a="http://schemas.openxmlformats.org/drawingml/2006/main">
                    <a:graphicData uri="http://schemas.openxmlformats.org/drawingml/2006/picture">
                      <pic:pic xmlns:pic="http://schemas.openxmlformats.org/drawingml/2006/picture">
                        <pic:nvPicPr>
                          <pic:cNvPr id="15" name="图片_5"/>
                          <pic:cNvPicPr/>
                        </pic:nvPicPr>
                        <pic:blipFill>
                          <a:blip r:embed="rId11"/>
                          <a:stretch>
                            <a:fillRect/>
                          </a:stretch>
                        </pic:blipFill>
                        <pic:spPr>
                          <a:xfrm>
                            <a:off x="0" y="0"/>
                            <a:ext cx="1739900" cy="868680"/>
                          </a:xfrm>
                          <a:prstGeom prst="rect">
                            <a:avLst/>
                          </a:prstGeom>
                          <a:noFill/>
                          <a:ln>
                            <a:noFill/>
                          </a:ln>
                        </pic:spPr>
                      </pic:pic>
                    </a:graphicData>
                  </a:graphic>
                </wp:anchor>
              </w:drawing>
            </w:r>
          </w:p>
        </w:tc>
      </w:tr>
      <w:tr w14:paraId="4721D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6" w:hRule="atLeast"/>
        </w:trPr>
        <w:tc>
          <w:tcPr>
            <w:tcW w:w="707" w:type="dxa"/>
            <w:vMerge w:val="continue"/>
            <w:tcBorders>
              <w:top w:val="single" w:color="000000" w:sz="4" w:space="0"/>
              <w:left w:val="single" w:color="000000" w:sz="4" w:space="0"/>
              <w:bottom w:val="nil"/>
              <w:right w:val="single" w:color="000000" w:sz="4" w:space="0"/>
            </w:tcBorders>
            <w:shd w:val="clear" w:color="auto" w:fill="auto"/>
            <w:vAlign w:val="center"/>
          </w:tcPr>
          <w:p w14:paraId="26BCCB28">
            <w:pPr>
              <w:jc w:val="center"/>
              <w:rPr>
                <w:rFonts w:hint="eastAsia" w:ascii="宋体" w:hAnsi="宋体" w:eastAsia="宋体" w:cs="宋体"/>
                <w:i w:val="0"/>
                <w:iCs w:val="0"/>
                <w:color w:val="000000"/>
                <w:sz w:val="22"/>
                <w:szCs w:val="22"/>
                <w:u w:val="none"/>
              </w:rPr>
            </w:pPr>
          </w:p>
        </w:tc>
        <w:tc>
          <w:tcPr>
            <w:tcW w:w="1387" w:type="dxa"/>
            <w:vMerge w:val="continue"/>
            <w:tcBorders>
              <w:top w:val="single" w:color="000000" w:sz="4" w:space="0"/>
              <w:left w:val="single" w:color="000000" w:sz="4" w:space="0"/>
              <w:bottom w:val="nil"/>
              <w:right w:val="single" w:color="000000" w:sz="4" w:space="0"/>
            </w:tcBorders>
            <w:shd w:val="clear" w:color="auto" w:fill="auto"/>
            <w:vAlign w:val="center"/>
          </w:tcPr>
          <w:p w14:paraId="7873C304">
            <w:pPr>
              <w:jc w:val="center"/>
              <w:rPr>
                <w:rFonts w:hint="eastAsia" w:ascii="宋体" w:hAnsi="宋体" w:eastAsia="宋体" w:cs="宋体"/>
                <w:i w:val="0"/>
                <w:iCs w:val="0"/>
                <w:color w:val="000000"/>
                <w:sz w:val="22"/>
                <w:szCs w:val="2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4A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130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卸油作业指南立牌</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5BE78">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7F4FD">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722755" cy="871855"/>
                  <wp:effectExtent l="0" t="0" r="10795" b="4445"/>
                  <wp:wrapNone/>
                  <wp:docPr id="16" name="图片_6"/>
                  <wp:cNvGraphicFramePr/>
                  <a:graphic xmlns:a="http://schemas.openxmlformats.org/drawingml/2006/main">
                    <a:graphicData uri="http://schemas.openxmlformats.org/drawingml/2006/picture">
                      <pic:pic xmlns:pic="http://schemas.openxmlformats.org/drawingml/2006/picture">
                        <pic:nvPicPr>
                          <pic:cNvPr id="16" name="图片_6"/>
                          <pic:cNvPicPr/>
                        </pic:nvPicPr>
                        <pic:blipFill>
                          <a:blip r:embed="rId12"/>
                          <a:stretch>
                            <a:fillRect/>
                          </a:stretch>
                        </pic:blipFill>
                        <pic:spPr>
                          <a:xfrm>
                            <a:off x="0" y="0"/>
                            <a:ext cx="1722755" cy="871855"/>
                          </a:xfrm>
                          <a:prstGeom prst="rect">
                            <a:avLst/>
                          </a:prstGeom>
                          <a:noFill/>
                          <a:ln>
                            <a:noFill/>
                          </a:ln>
                        </pic:spPr>
                      </pic:pic>
                    </a:graphicData>
                  </a:graphic>
                </wp:anchor>
              </w:drawing>
            </w:r>
          </w:p>
        </w:tc>
      </w:tr>
      <w:tr w14:paraId="7E4A5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21" w:hRule="atLeast"/>
        </w:trPr>
        <w:tc>
          <w:tcPr>
            <w:tcW w:w="707" w:type="dxa"/>
            <w:vMerge w:val="continue"/>
            <w:tcBorders>
              <w:top w:val="single" w:color="000000" w:sz="4" w:space="0"/>
              <w:left w:val="single" w:color="000000" w:sz="4" w:space="0"/>
              <w:bottom w:val="nil"/>
              <w:right w:val="single" w:color="000000" w:sz="4" w:space="0"/>
            </w:tcBorders>
            <w:shd w:val="clear" w:color="auto" w:fill="auto"/>
            <w:vAlign w:val="center"/>
          </w:tcPr>
          <w:p w14:paraId="08C39283">
            <w:pPr>
              <w:jc w:val="center"/>
              <w:rPr>
                <w:rFonts w:hint="eastAsia" w:ascii="宋体" w:hAnsi="宋体" w:eastAsia="宋体" w:cs="宋体"/>
                <w:i w:val="0"/>
                <w:iCs w:val="0"/>
                <w:color w:val="000000"/>
                <w:sz w:val="22"/>
                <w:szCs w:val="22"/>
                <w:u w:val="none"/>
              </w:rPr>
            </w:pPr>
          </w:p>
        </w:tc>
        <w:tc>
          <w:tcPr>
            <w:tcW w:w="1387" w:type="dxa"/>
            <w:vMerge w:val="continue"/>
            <w:tcBorders>
              <w:top w:val="single" w:color="000000" w:sz="4" w:space="0"/>
              <w:left w:val="single" w:color="000000" w:sz="4" w:space="0"/>
              <w:bottom w:val="nil"/>
              <w:right w:val="single" w:color="000000" w:sz="4" w:space="0"/>
            </w:tcBorders>
            <w:shd w:val="clear" w:color="auto" w:fill="auto"/>
            <w:vAlign w:val="center"/>
          </w:tcPr>
          <w:p w14:paraId="69D6A36B">
            <w:pPr>
              <w:jc w:val="center"/>
              <w:rPr>
                <w:rFonts w:hint="eastAsia" w:ascii="宋体" w:hAnsi="宋体" w:eastAsia="宋体" w:cs="宋体"/>
                <w:i w:val="0"/>
                <w:iCs w:val="0"/>
                <w:color w:val="000000"/>
                <w:sz w:val="22"/>
                <w:szCs w:val="2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060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50C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严禁烟火立牌</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0A3C2">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C292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727835" cy="1081405"/>
                  <wp:effectExtent l="0" t="0" r="5715" b="4445"/>
                  <wp:wrapNone/>
                  <wp:docPr id="17" name="图片_7"/>
                  <wp:cNvGraphicFramePr/>
                  <a:graphic xmlns:a="http://schemas.openxmlformats.org/drawingml/2006/main">
                    <a:graphicData uri="http://schemas.openxmlformats.org/drawingml/2006/picture">
                      <pic:pic xmlns:pic="http://schemas.openxmlformats.org/drawingml/2006/picture">
                        <pic:nvPicPr>
                          <pic:cNvPr id="17" name="图片_7"/>
                          <pic:cNvPicPr/>
                        </pic:nvPicPr>
                        <pic:blipFill>
                          <a:blip r:embed="rId13"/>
                          <a:stretch>
                            <a:fillRect/>
                          </a:stretch>
                        </pic:blipFill>
                        <pic:spPr>
                          <a:xfrm>
                            <a:off x="0" y="0"/>
                            <a:ext cx="1727835" cy="1081405"/>
                          </a:xfrm>
                          <a:prstGeom prst="rect">
                            <a:avLst/>
                          </a:prstGeom>
                          <a:noFill/>
                          <a:ln>
                            <a:noFill/>
                          </a:ln>
                        </pic:spPr>
                      </pic:pic>
                    </a:graphicData>
                  </a:graphic>
                </wp:anchor>
              </w:drawing>
            </w:r>
          </w:p>
        </w:tc>
      </w:tr>
      <w:tr w14:paraId="3541D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94" w:hRule="atLeast"/>
        </w:trPr>
        <w:tc>
          <w:tcPr>
            <w:tcW w:w="707" w:type="dxa"/>
            <w:vMerge w:val="continue"/>
            <w:tcBorders>
              <w:top w:val="single" w:color="000000" w:sz="4" w:space="0"/>
              <w:left w:val="single" w:color="000000" w:sz="4" w:space="0"/>
              <w:bottom w:val="nil"/>
              <w:right w:val="single" w:color="000000" w:sz="4" w:space="0"/>
            </w:tcBorders>
            <w:shd w:val="clear" w:color="auto" w:fill="auto"/>
            <w:vAlign w:val="center"/>
          </w:tcPr>
          <w:p w14:paraId="18DC6D42">
            <w:pPr>
              <w:jc w:val="center"/>
              <w:rPr>
                <w:rFonts w:hint="eastAsia" w:ascii="宋体" w:hAnsi="宋体" w:eastAsia="宋体" w:cs="宋体"/>
                <w:i w:val="0"/>
                <w:iCs w:val="0"/>
                <w:color w:val="000000"/>
                <w:sz w:val="22"/>
                <w:szCs w:val="22"/>
                <w:u w:val="none"/>
              </w:rPr>
            </w:pPr>
          </w:p>
        </w:tc>
        <w:tc>
          <w:tcPr>
            <w:tcW w:w="1387" w:type="dxa"/>
            <w:vMerge w:val="continue"/>
            <w:tcBorders>
              <w:top w:val="single" w:color="000000" w:sz="4" w:space="0"/>
              <w:left w:val="single" w:color="000000" w:sz="4" w:space="0"/>
              <w:bottom w:val="nil"/>
              <w:right w:val="single" w:color="000000" w:sz="4" w:space="0"/>
            </w:tcBorders>
            <w:shd w:val="clear" w:color="auto" w:fill="auto"/>
            <w:vAlign w:val="center"/>
          </w:tcPr>
          <w:p w14:paraId="5686F64B">
            <w:pPr>
              <w:jc w:val="center"/>
              <w:rPr>
                <w:rFonts w:hint="eastAsia" w:ascii="宋体" w:hAnsi="宋体" w:eastAsia="宋体" w:cs="宋体"/>
                <w:i w:val="0"/>
                <w:iCs w:val="0"/>
                <w:color w:val="000000"/>
                <w:sz w:val="22"/>
                <w:szCs w:val="2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6F4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8个</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98F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立柱警示牌</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38A0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8D5D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200025</wp:posOffset>
                  </wp:positionH>
                  <wp:positionV relativeFrom="paragraph">
                    <wp:posOffset>66040</wp:posOffset>
                  </wp:positionV>
                  <wp:extent cx="1412240" cy="1079500"/>
                  <wp:effectExtent l="0" t="0" r="16510" b="6350"/>
                  <wp:wrapNone/>
                  <wp:docPr id="11" name="图片_8"/>
                  <wp:cNvGraphicFramePr/>
                  <a:graphic xmlns:a="http://schemas.openxmlformats.org/drawingml/2006/main">
                    <a:graphicData uri="http://schemas.openxmlformats.org/drawingml/2006/picture">
                      <pic:pic xmlns:pic="http://schemas.openxmlformats.org/drawingml/2006/picture">
                        <pic:nvPicPr>
                          <pic:cNvPr id="11" name="图片_8"/>
                          <pic:cNvPicPr/>
                        </pic:nvPicPr>
                        <pic:blipFill>
                          <a:blip r:embed="rId14"/>
                          <a:stretch>
                            <a:fillRect/>
                          </a:stretch>
                        </pic:blipFill>
                        <pic:spPr>
                          <a:xfrm>
                            <a:off x="0" y="0"/>
                            <a:ext cx="1412240" cy="1079500"/>
                          </a:xfrm>
                          <a:prstGeom prst="rect">
                            <a:avLst/>
                          </a:prstGeom>
                          <a:noFill/>
                          <a:ln>
                            <a:noFill/>
                          </a:ln>
                        </pic:spPr>
                      </pic:pic>
                    </a:graphicData>
                  </a:graphic>
                </wp:anchor>
              </w:drawing>
            </w:r>
          </w:p>
        </w:tc>
      </w:tr>
      <w:tr w14:paraId="1A2B9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707" w:type="dxa"/>
            <w:vMerge w:val="continue"/>
            <w:tcBorders>
              <w:top w:val="single" w:color="000000" w:sz="4" w:space="0"/>
              <w:left w:val="single" w:color="000000" w:sz="4" w:space="0"/>
              <w:bottom w:val="nil"/>
              <w:right w:val="single" w:color="000000" w:sz="4" w:space="0"/>
            </w:tcBorders>
            <w:shd w:val="clear" w:color="auto" w:fill="auto"/>
            <w:vAlign w:val="center"/>
          </w:tcPr>
          <w:p w14:paraId="5AEB83DA">
            <w:pPr>
              <w:jc w:val="center"/>
              <w:rPr>
                <w:rFonts w:hint="eastAsia" w:ascii="宋体" w:hAnsi="宋体" w:eastAsia="宋体" w:cs="宋体"/>
                <w:i w:val="0"/>
                <w:iCs w:val="0"/>
                <w:color w:val="000000"/>
                <w:sz w:val="22"/>
                <w:szCs w:val="22"/>
                <w:u w:val="none"/>
              </w:rPr>
            </w:pPr>
          </w:p>
        </w:tc>
        <w:tc>
          <w:tcPr>
            <w:tcW w:w="1387" w:type="dxa"/>
            <w:vMerge w:val="continue"/>
            <w:tcBorders>
              <w:top w:val="single" w:color="000000" w:sz="4" w:space="0"/>
              <w:left w:val="single" w:color="000000" w:sz="4" w:space="0"/>
              <w:bottom w:val="nil"/>
              <w:right w:val="single" w:color="000000" w:sz="4" w:space="0"/>
            </w:tcBorders>
            <w:shd w:val="clear" w:color="auto" w:fill="auto"/>
            <w:vAlign w:val="center"/>
          </w:tcPr>
          <w:p w14:paraId="0F7212AB">
            <w:pPr>
              <w:jc w:val="center"/>
              <w:rPr>
                <w:rFonts w:hint="eastAsia" w:ascii="宋体" w:hAnsi="宋体" w:eastAsia="宋体" w:cs="宋体"/>
                <w:i w:val="0"/>
                <w:iCs w:val="0"/>
                <w:color w:val="000000"/>
                <w:sz w:val="22"/>
                <w:szCs w:val="2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0B7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825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门头便利店发光字</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71A0">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C2B4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发光字制作</w:t>
            </w:r>
          </w:p>
        </w:tc>
      </w:tr>
      <w:tr w14:paraId="500E7B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707" w:type="dxa"/>
            <w:vMerge w:val="continue"/>
            <w:tcBorders>
              <w:top w:val="single" w:color="000000" w:sz="4" w:space="0"/>
              <w:left w:val="single" w:color="000000" w:sz="4" w:space="0"/>
              <w:bottom w:val="nil"/>
              <w:right w:val="single" w:color="000000" w:sz="4" w:space="0"/>
            </w:tcBorders>
            <w:shd w:val="clear" w:color="auto" w:fill="auto"/>
            <w:vAlign w:val="center"/>
          </w:tcPr>
          <w:p w14:paraId="2421488E">
            <w:pPr>
              <w:jc w:val="center"/>
              <w:rPr>
                <w:rFonts w:hint="eastAsia" w:ascii="宋体" w:hAnsi="宋体" w:eastAsia="宋体" w:cs="宋体"/>
                <w:i w:val="0"/>
                <w:iCs w:val="0"/>
                <w:color w:val="000000"/>
                <w:sz w:val="22"/>
                <w:szCs w:val="22"/>
                <w:u w:val="none"/>
              </w:rPr>
            </w:pPr>
          </w:p>
        </w:tc>
        <w:tc>
          <w:tcPr>
            <w:tcW w:w="1387" w:type="dxa"/>
            <w:vMerge w:val="continue"/>
            <w:tcBorders>
              <w:top w:val="single" w:color="000000" w:sz="4" w:space="0"/>
              <w:left w:val="single" w:color="000000" w:sz="4" w:space="0"/>
              <w:bottom w:val="nil"/>
              <w:right w:val="single" w:color="000000" w:sz="4" w:space="0"/>
            </w:tcBorders>
            <w:shd w:val="clear" w:color="auto" w:fill="auto"/>
            <w:vAlign w:val="center"/>
          </w:tcPr>
          <w:p w14:paraId="38BB1D7C">
            <w:pPr>
              <w:jc w:val="center"/>
              <w:rPr>
                <w:rFonts w:hint="eastAsia" w:ascii="宋体" w:hAnsi="宋体" w:eastAsia="宋体" w:cs="宋体"/>
                <w:i w:val="0"/>
                <w:iCs w:val="0"/>
                <w:color w:val="000000"/>
                <w:sz w:val="22"/>
                <w:szCs w:val="2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DC3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EA5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交控能源欢迎您发光字</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FE21B">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定制（墙面尺寸：高2.6m 宽8m）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C0166">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4毫米亚克力，镀锌板烤漆发光字 100cm高</w:t>
            </w:r>
          </w:p>
        </w:tc>
      </w:tr>
      <w:tr w14:paraId="3AADF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07" w:type="dxa"/>
            <w:vMerge w:val="continue"/>
            <w:tcBorders>
              <w:top w:val="single" w:color="000000" w:sz="4" w:space="0"/>
              <w:left w:val="single" w:color="000000" w:sz="4" w:space="0"/>
              <w:bottom w:val="nil"/>
              <w:right w:val="single" w:color="000000" w:sz="4" w:space="0"/>
            </w:tcBorders>
            <w:shd w:val="clear" w:color="auto" w:fill="auto"/>
            <w:vAlign w:val="center"/>
          </w:tcPr>
          <w:p w14:paraId="75D04A2E">
            <w:pPr>
              <w:jc w:val="center"/>
              <w:rPr>
                <w:rFonts w:hint="eastAsia" w:ascii="宋体" w:hAnsi="宋体" w:eastAsia="宋体" w:cs="宋体"/>
                <w:i w:val="0"/>
                <w:iCs w:val="0"/>
                <w:color w:val="000000"/>
                <w:sz w:val="22"/>
                <w:szCs w:val="22"/>
                <w:u w:val="none"/>
              </w:rPr>
            </w:pPr>
          </w:p>
        </w:tc>
        <w:tc>
          <w:tcPr>
            <w:tcW w:w="1387" w:type="dxa"/>
            <w:vMerge w:val="continue"/>
            <w:tcBorders>
              <w:top w:val="single" w:color="000000" w:sz="4" w:space="0"/>
              <w:left w:val="single" w:color="000000" w:sz="4" w:space="0"/>
              <w:bottom w:val="nil"/>
              <w:right w:val="single" w:color="000000" w:sz="4" w:space="0"/>
            </w:tcBorders>
            <w:shd w:val="clear" w:color="auto" w:fill="auto"/>
            <w:vAlign w:val="center"/>
          </w:tcPr>
          <w:p w14:paraId="58468D1E">
            <w:pPr>
              <w:jc w:val="center"/>
              <w:rPr>
                <w:rFonts w:hint="eastAsia" w:ascii="宋体" w:hAnsi="宋体" w:eastAsia="宋体" w:cs="宋体"/>
                <w:i w:val="0"/>
                <w:iCs w:val="0"/>
                <w:color w:val="000000"/>
                <w:sz w:val="22"/>
                <w:szCs w:val="2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3B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4个</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F9D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油品导视牌</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906A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686AA">
            <w:pPr>
              <w:rPr>
                <w:rFonts w:hint="eastAsia" w:ascii="宋体" w:hAnsi="宋体" w:eastAsia="宋体" w:cs="宋体"/>
                <w:i w:val="0"/>
                <w:iCs w:val="0"/>
                <w:color w:val="auto"/>
                <w:sz w:val="22"/>
                <w:szCs w:val="22"/>
                <w:u w:val="none"/>
              </w:rPr>
            </w:pPr>
          </w:p>
        </w:tc>
      </w:tr>
      <w:tr w14:paraId="2F2BB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707" w:type="dxa"/>
            <w:vMerge w:val="continue"/>
            <w:tcBorders>
              <w:top w:val="single" w:color="000000" w:sz="4" w:space="0"/>
              <w:left w:val="single" w:color="000000" w:sz="4" w:space="0"/>
              <w:bottom w:val="nil"/>
              <w:right w:val="single" w:color="000000" w:sz="4" w:space="0"/>
            </w:tcBorders>
            <w:shd w:val="clear" w:color="auto" w:fill="auto"/>
            <w:vAlign w:val="center"/>
          </w:tcPr>
          <w:p w14:paraId="2D02507F">
            <w:pPr>
              <w:jc w:val="center"/>
              <w:rPr>
                <w:rFonts w:hint="eastAsia" w:ascii="宋体" w:hAnsi="宋体" w:eastAsia="宋体" w:cs="宋体"/>
                <w:i w:val="0"/>
                <w:iCs w:val="0"/>
                <w:color w:val="000000"/>
                <w:sz w:val="22"/>
                <w:szCs w:val="22"/>
                <w:u w:val="none"/>
              </w:rPr>
            </w:pPr>
          </w:p>
        </w:tc>
        <w:tc>
          <w:tcPr>
            <w:tcW w:w="1387" w:type="dxa"/>
            <w:vMerge w:val="continue"/>
            <w:tcBorders>
              <w:top w:val="single" w:color="000000" w:sz="4" w:space="0"/>
              <w:left w:val="single" w:color="000000" w:sz="4" w:space="0"/>
              <w:bottom w:val="nil"/>
              <w:right w:val="single" w:color="000000" w:sz="4" w:space="0"/>
            </w:tcBorders>
            <w:shd w:val="clear" w:color="auto" w:fill="auto"/>
            <w:vAlign w:val="center"/>
          </w:tcPr>
          <w:p w14:paraId="097A9873">
            <w:pPr>
              <w:jc w:val="center"/>
              <w:rPr>
                <w:rFonts w:hint="eastAsia" w:ascii="宋体" w:hAnsi="宋体" w:eastAsia="宋体" w:cs="宋体"/>
                <w:i w:val="0"/>
                <w:iCs w:val="0"/>
                <w:color w:val="000000"/>
                <w:sz w:val="22"/>
                <w:szCs w:val="22"/>
                <w:u w:val="none"/>
              </w:rPr>
            </w:pPr>
          </w:p>
        </w:tc>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0BA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56米</w:t>
            </w:r>
          </w:p>
        </w:tc>
        <w:tc>
          <w:tcPr>
            <w:tcW w:w="1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1A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立柱灯带</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91AA4">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17C00">
            <w:pPr>
              <w:rPr>
                <w:rFonts w:hint="eastAsia" w:ascii="宋体" w:hAnsi="宋体" w:eastAsia="宋体" w:cs="宋体"/>
                <w:i w:val="0"/>
                <w:iCs w:val="0"/>
                <w:color w:val="auto"/>
                <w:sz w:val="22"/>
                <w:szCs w:val="22"/>
                <w:u w:val="none"/>
              </w:rPr>
            </w:pPr>
          </w:p>
        </w:tc>
      </w:tr>
      <w:tr w14:paraId="733B8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2"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6B0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87"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5DBB54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国省道双向导向牌</w:t>
            </w:r>
          </w:p>
        </w:tc>
        <w:tc>
          <w:tcPr>
            <w:tcW w:w="707"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72C4CC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w:t>
            </w:r>
          </w:p>
        </w:tc>
        <w:tc>
          <w:tcPr>
            <w:tcW w:w="1671"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3CCCC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亳芜大道南北两侧300米处，双F标志杆</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top"/>
          </w:tcPr>
          <w:p w14:paraId="56157391">
            <w:pPr>
              <w:keepNext w:val="0"/>
              <w:keepLines w:val="0"/>
              <w:widowControl/>
              <w:suppressLineNumbers w:val="0"/>
              <w:jc w:val="left"/>
              <w:textAlignment w:val="top"/>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8255</wp:posOffset>
                  </wp:positionH>
                  <wp:positionV relativeFrom="paragraph">
                    <wp:posOffset>1560195</wp:posOffset>
                  </wp:positionV>
                  <wp:extent cx="1437640" cy="2213610"/>
                  <wp:effectExtent l="0" t="0" r="10160" b="15240"/>
                  <wp:wrapNone/>
                  <wp:docPr id="12" name="图片_2"/>
                  <wp:cNvGraphicFramePr/>
                  <a:graphic xmlns:a="http://schemas.openxmlformats.org/drawingml/2006/main">
                    <a:graphicData uri="http://schemas.openxmlformats.org/drawingml/2006/picture">
                      <pic:pic xmlns:pic="http://schemas.openxmlformats.org/drawingml/2006/picture">
                        <pic:nvPicPr>
                          <pic:cNvPr id="12" name="图片_2"/>
                          <pic:cNvPicPr/>
                        </pic:nvPicPr>
                        <pic:blipFill>
                          <a:blip r:embed="rId15"/>
                          <a:stretch>
                            <a:fillRect/>
                          </a:stretch>
                        </pic:blipFill>
                        <pic:spPr>
                          <a:xfrm>
                            <a:off x="0" y="0"/>
                            <a:ext cx="1437640" cy="2213610"/>
                          </a:xfrm>
                          <a:prstGeom prst="rect">
                            <a:avLst/>
                          </a:prstGeom>
                          <a:noFill/>
                          <a:ln>
                            <a:noFill/>
                          </a:ln>
                        </pic:spPr>
                      </pic:pic>
                    </a:graphicData>
                  </a:graphic>
                </wp:anchor>
              </w:drawing>
            </w:r>
            <w:r>
              <w:rPr>
                <w:rFonts w:hint="eastAsia" w:ascii="宋体" w:hAnsi="宋体" w:eastAsia="宋体" w:cs="宋体"/>
                <w:i w:val="0"/>
                <w:iCs w:val="0"/>
                <w:color w:val="auto"/>
                <w:kern w:val="0"/>
                <w:sz w:val="22"/>
                <w:szCs w:val="22"/>
                <w:u w:val="none"/>
                <w:lang w:val="en-US" w:eastAsia="zh-CN" w:bidi="ar"/>
              </w:rPr>
              <w:t>主杆300*300*6mm*7.5米；悬臂120*120*4mm*5米；法兰720*720*20mm；标志牌尺寸2000*4000mm，采用超强级反光膜；预埋件8-M27*1500（净高）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CE06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171450</wp:posOffset>
                  </wp:positionH>
                  <wp:positionV relativeFrom="paragraph">
                    <wp:posOffset>66675</wp:posOffset>
                  </wp:positionV>
                  <wp:extent cx="2406650" cy="3724275"/>
                  <wp:effectExtent l="0" t="0" r="12700" b="9525"/>
                  <wp:wrapNone/>
                  <wp:docPr id="19" name="图片 18"/>
                  <wp:cNvGraphicFramePr/>
                  <a:graphic xmlns:a="http://schemas.openxmlformats.org/drawingml/2006/main">
                    <a:graphicData uri="http://schemas.openxmlformats.org/drawingml/2006/picture">
                      <pic:pic xmlns:pic="http://schemas.openxmlformats.org/drawingml/2006/picture">
                        <pic:nvPicPr>
                          <pic:cNvPr id="19" name="图片 18"/>
                          <pic:cNvPicPr/>
                        </pic:nvPicPr>
                        <pic:blipFill>
                          <a:blip r:embed="rId16"/>
                          <a:stretch>
                            <a:fillRect/>
                          </a:stretch>
                        </pic:blipFill>
                        <pic:spPr>
                          <a:xfrm>
                            <a:off x="0" y="0"/>
                            <a:ext cx="2406650" cy="3724275"/>
                          </a:xfrm>
                          <a:prstGeom prst="rect">
                            <a:avLst/>
                          </a:prstGeom>
                          <a:noFill/>
                          <a:ln>
                            <a:noFill/>
                          </a:ln>
                        </pic:spPr>
                      </pic:pic>
                    </a:graphicData>
                  </a:graphic>
                </wp:anchor>
              </w:drawing>
            </w:r>
          </w:p>
        </w:tc>
      </w:tr>
      <w:tr w14:paraId="044FA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14" w:hRule="atLeast"/>
        </w:trPr>
        <w:tc>
          <w:tcPr>
            <w:tcW w:w="7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C8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87"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2EF60C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加油机小票打印机</w:t>
            </w:r>
          </w:p>
        </w:tc>
        <w:tc>
          <w:tcPr>
            <w:tcW w:w="707"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4A1CAE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8台</w:t>
            </w:r>
          </w:p>
        </w:tc>
        <w:tc>
          <w:tcPr>
            <w:tcW w:w="1671" w:type="dxa"/>
            <w:tcBorders>
              <w:top w:val="single" w:color="000000" w:sz="4" w:space="0"/>
              <w:left w:val="single" w:color="000000" w:sz="4" w:space="0"/>
              <w:bottom w:val="single" w:color="000000" w:sz="4" w:space="0"/>
              <w:right w:val="single" w:color="000000" w:sz="4" w:space="0"/>
            </w:tcBorders>
            <w:shd w:val="clear" w:color="auto" w:fill="F2F2F2"/>
            <w:vAlign w:val="center"/>
          </w:tcPr>
          <w:p w14:paraId="3BB917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每个加油机2台</w:t>
            </w:r>
          </w:p>
        </w:tc>
        <w:tc>
          <w:tcPr>
            <w:tcW w:w="2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FAAA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三金京汉加油机配套小票打印机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9D3A9">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57150</wp:posOffset>
                  </wp:positionH>
                  <wp:positionV relativeFrom="paragraph">
                    <wp:posOffset>19050</wp:posOffset>
                  </wp:positionV>
                  <wp:extent cx="1457325" cy="1871345"/>
                  <wp:effectExtent l="0" t="0" r="9525" b="14605"/>
                  <wp:wrapNone/>
                  <wp:docPr id="18" name="图片_1"/>
                  <wp:cNvGraphicFramePr/>
                  <a:graphic xmlns:a="http://schemas.openxmlformats.org/drawingml/2006/main">
                    <a:graphicData uri="http://schemas.openxmlformats.org/drawingml/2006/picture">
                      <pic:pic xmlns:pic="http://schemas.openxmlformats.org/drawingml/2006/picture">
                        <pic:nvPicPr>
                          <pic:cNvPr id="18" name="图片_1"/>
                          <pic:cNvPicPr/>
                        </pic:nvPicPr>
                        <pic:blipFill>
                          <a:blip r:embed="rId17"/>
                          <a:stretch>
                            <a:fillRect/>
                          </a:stretch>
                        </pic:blipFill>
                        <pic:spPr>
                          <a:xfrm>
                            <a:off x="0" y="0"/>
                            <a:ext cx="1457325" cy="1871345"/>
                          </a:xfrm>
                          <a:prstGeom prst="rect">
                            <a:avLst/>
                          </a:prstGeom>
                          <a:noFill/>
                          <a:ln>
                            <a:noFill/>
                          </a:ln>
                        </pic:spPr>
                      </pic:pic>
                    </a:graphicData>
                  </a:graphic>
                </wp:anchor>
              </w:drawing>
            </w:r>
          </w:p>
        </w:tc>
      </w:tr>
    </w:tbl>
    <w:p w14:paraId="28B145A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注：以上设备含运输、上楼、安装、以及设备支架或外出墙面打孔等费用，全部由供应商承担，采购人不额外支出费用。</w:t>
      </w:r>
    </w:p>
    <w:p w14:paraId="7C8414D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14:paraId="1B68D49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满足文苑路加油站设备需求清单中要求。符合国家、地方、行业现行相关规范合格标准，满足采购人要求。</w:t>
      </w:r>
    </w:p>
    <w:p w14:paraId="603A42B8">
      <w:pPr>
        <w:pStyle w:val="7"/>
        <w:rPr>
          <w:rFonts w:hint="default"/>
          <w:lang w:val="en-US" w:eastAsia="zh-CN"/>
        </w:rPr>
      </w:pPr>
    </w:p>
    <w:p w14:paraId="752D58B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四、检验考核要求</w:t>
      </w:r>
    </w:p>
    <w:p w14:paraId="390C36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3932700">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满足文苑路加油站设备需求清单中要求。符合国家、地方、行业现行相关规范合格标准，满足采购人要求。</w:t>
      </w:r>
    </w:p>
    <w:p w14:paraId="53CAA31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五、其他要求</w:t>
      </w:r>
    </w:p>
    <w:permEnd w:id="52"/>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44974856"/>
      <w:bookmarkStart w:id="258" w:name="_Toc247527827"/>
      <w:bookmarkStart w:id="259" w:name="_Toc152045787"/>
      <w:bookmarkStart w:id="260" w:name="_Toc247514246"/>
      <w:bookmarkStart w:id="261" w:name="_Toc152042576"/>
      <w:bookmarkStart w:id="262" w:name="_Toc300835209"/>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shd w:val="clear" w:color="auto" w:fill="auto"/>
            <w:vAlign w:val="center"/>
          </w:tcPr>
          <w:p w14:paraId="137392C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shd w:val="clear" w:color="auto" w:fill="auto"/>
            <w:vAlign w:val="center"/>
          </w:tcPr>
          <w:p w14:paraId="3E69BE8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shd w:val="clear" w:color="auto" w:fill="auto"/>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7E7BF99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7605CA9F">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300835210"/>
      <w:bookmarkStart w:id="264" w:name="_Toc247514247"/>
      <w:bookmarkStart w:id="265" w:name="_Toc152042577"/>
      <w:bookmarkStart w:id="266" w:name="_Toc152045788"/>
      <w:bookmarkStart w:id="267" w:name="_Toc144974857"/>
      <w:bookmarkStart w:id="268" w:name="_Toc24752782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44974859"/>
      <w:bookmarkStart w:id="270" w:name="_Toc300835212"/>
      <w:bookmarkStart w:id="271" w:name="_Toc247527830"/>
      <w:bookmarkStart w:id="272" w:name="_Toc247514249"/>
      <w:bookmarkStart w:id="273" w:name="_Toc152045790"/>
      <w:bookmarkStart w:id="274"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numPr>
          <w:ilvl w:val="0"/>
          <w:numId w:val="2"/>
        </w:num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r>
        <w:rPr>
          <w:rFonts w:hint="eastAsia" w:ascii="Times New Roman" w:hAnsi="Times New Roman" w:cs="Times New Roman"/>
          <w:color w:val="FF0000"/>
          <w:szCs w:val="21"/>
          <w:lang w:val="en-US" w:eastAsia="zh-CN"/>
        </w:rPr>
        <w:t>不含税</w:t>
      </w:r>
      <w:permStart w:id="5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3"/>
      <w:r>
        <w:rPr>
          <w:rFonts w:hint="eastAsia" w:ascii="Times New Roman" w:hAnsi="Times New Roman" w:cs="Times New Roman"/>
          <w:szCs w:val="21"/>
          <w:lang w:val="en-US" w:eastAsia="zh-CN"/>
        </w:rPr>
        <w:t>，</w:t>
      </w:r>
      <w:permStart w:id="54" w:edGrp="everyone"/>
      <w:r>
        <w:rPr>
          <w:rFonts w:hint="eastAsia" w:ascii="Times New Roman" w:hAnsi="Times New Roman" w:cs="Times New Roman"/>
          <w:szCs w:val="21"/>
          <w:u w:val="none"/>
          <w:lang w:val="en-US" w:eastAsia="zh-CN"/>
        </w:rPr>
        <w:t>自合同签订之日起15个日历天内完成送货、安装及调试，其中国省道双向导向牌项目自合同签订之日起30个日历天内完成施工。</w:t>
      </w:r>
      <w:permEnd w:id="54"/>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52042580"/>
      <w:bookmarkStart w:id="276" w:name="_Toc247527831"/>
      <w:bookmarkStart w:id="277" w:name="_Toc300835213"/>
      <w:bookmarkStart w:id="278" w:name="_Toc144974860"/>
      <w:bookmarkStart w:id="279" w:name="_Toc247514283"/>
      <w:bookmarkStart w:id="280"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27832"/>
      <w:bookmarkStart w:id="282" w:name="_Toc144974861"/>
      <w:bookmarkStart w:id="283" w:name="_Toc247514284"/>
      <w:bookmarkStart w:id="284" w:name="_Toc152042581"/>
      <w:bookmarkStart w:id="285" w:name="_Toc152045792"/>
      <w:bookmarkStart w:id="286"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7" w:name="_Toc247514286"/>
      <w:bookmarkStart w:id="288" w:name="_Toc152045794"/>
      <w:bookmarkStart w:id="289" w:name="_Toc144974862"/>
      <w:bookmarkStart w:id="290" w:name="_Toc152042583"/>
      <w:bookmarkStart w:id="291" w:name="_Toc247527834"/>
      <w:bookmarkStart w:id="292" w:name="_Toc300835216"/>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2584"/>
      <w:bookmarkStart w:id="295" w:name="_Toc144974863"/>
      <w:bookmarkStart w:id="296" w:name="_Toc300835218"/>
      <w:bookmarkStart w:id="297" w:name="_Toc247514287"/>
      <w:bookmarkStart w:id="298" w:name="_Toc152045795"/>
      <w:bookmarkStart w:id="299" w:name="_Toc24752783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4C3AB7C6">
      <w:pPr>
        <w:widowControl w:val="0"/>
        <w:numPr>
          <w:ilvl w:val="0"/>
          <w:numId w:val="0"/>
        </w:numPr>
        <w:jc w:val="both"/>
        <w:rPr>
          <w:rFonts w:hint="eastAsia"/>
          <w:lang w:val="en-US" w:eastAsia="zh-CN"/>
        </w:rPr>
      </w:pPr>
      <w:bookmarkStart w:id="300" w:name="_Toc247514288"/>
      <w:bookmarkStart w:id="301" w:name="_Toc247527836"/>
      <w:bookmarkStart w:id="302" w:name="_Toc144974864"/>
      <w:bookmarkStart w:id="303" w:name="_Toc152045796"/>
      <w:bookmarkStart w:id="304" w:name="_Toc152042585"/>
      <w:bookmarkStart w:id="305" w:name="_Toc300835221"/>
    </w:p>
    <w:p w14:paraId="3646C532">
      <w:pPr>
        <w:widowControl w:val="0"/>
        <w:numPr>
          <w:ilvl w:val="0"/>
          <w:numId w:val="0"/>
        </w:numPr>
        <w:jc w:val="both"/>
        <w:rPr>
          <w:rFonts w:hint="eastAsia"/>
          <w:lang w:val="en-US" w:eastAsia="zh-CN"/>
        </w:rPr>
      </w:pPr>
    </w:p>
    <w:p w14:paraId="593998D4">
      <w:pPr>
        <w:widowControl w:val="0"/>
        <w:numPr>
          <w:ilvl w:val="0"/>
          <w:numId w:val="0"/>
        </w:numPr>
        <w:jc w:val="both"/>
        <w:rPr>
          <w:rFonts w:hint="eastAsia"/>
          <w:lang w:val="en-US" w:eastAsia="zh-CN"/>
        </w:rPr>
      </w:pPr>
    </w:p>
    <w:p w14:paraId="77A7A1A4">
      <w:pPr>
        <w:widowControl w:val="0"/>
        <w:numPr>
          <w:ilvl w:val="0"/>
          <w:numId w:val="0"/>
        </w:numPr>
        <w:jc w:val="both"/>
        <w:rPr>
          <w:rFonts w:hint="eastAsia"/>
          <w:lang w:val="en-US" w:eastAsia="zh-CN"/>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2272155">
      <w:pPr>
        <w:widowControl w:val="0"/>
        <w:numPr>
          <w:ilvl w:val="0"/>
          <w:numId w:val="0"/>
        </w:numPr>
        <w:jc w:val="center"/>
        <w:rPr>
          <w:rFonts w:hint="eastAsia" w:ascii="Times New Roman" w:hAnsi="Times New Roman" w:eastAsia="黑体" w:cs="Times New Roman"/>
          <w:b/>
          <w:bCs/>
          <w:kern w:val="2"/>
          <w:sz w:val="32"/>
          <w:szCs w:val="32"/>
          <w:lang w:val="en-US" w:eastAsia="zh-CN" w:bidi="ar-SA"/>
        </w:rPr>
      </w:pPr>
      <w:r>
        <w:rPr>
          <w:rFonts w:hint="eastAsia" w:ascii="Times New Roman" w:hAnsi="Times New Roman" w:eastAsia="黑体" w:cs="Times New Roman"/>
          <w:b/>
          <w:bCs/>
          <w:kern w:val="2"/>
          <w:sz w:val="32"/>
          <w:szCs w:val="32"/>
          <w:lang w:val="en-US" w:eastAsia="zh-CN" w:bidi="ar-SA"/>
        </w:rPr>
        <w:t>六、报价表</w:t>
      </w:r>
    </w:p>
    <w:tbl>
      <w:tblPr>
        <w:tblStyle w:val="19"/>
        <w:tblpPr w:leftFromText="180" w:rightFromText="180" w:vertAnchor="text" w:horzAnchor="page" w:tblpX="1267" w:tblpY="524"/>
        <w:tblOverlap w:val="never"/>
        <w:tblW w:w="141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9"/>
        <w:gridCol w:w="1140"/>
        <w:gridCol w:w="765"/>
        <w:gridCol w:w="1215"/>
        <w:gridCol w:w="3165"/>
        <w:gridCol w:w="3615"/>
        <w:gridCol w:w="1800"/>
        <w:gridCol w:w="2055"/>
      </w:tblGrid>
      <w:tr w14:paraId="4E534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6" w:hRule="atLeast"/>
        </w:trPr>
        <w:tc>
          <w:tcPr>
            <w:tcW w:w="14184"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A75B1">
            <w:pPr>
              <w:keepNext w:val="0"/>
              <w:keepLines w:val="0"/>
              <w:widowControl/>
              <w:suppressLineNumbers w:val="0"/>
              <w:jc w:val="center"/>
              <w:textAlignment w:val="center"/>
              <w:rPr>
                <w:rFonts w:hint="eastAsia" w:ascii="黑体" w:hAnsi="宋体" w:eastAsia="黑体" w:cs="黑体"/>
                <w:i w:val="0"/>
                <w:iCs w:val="0"/>
                <w:color w:val="000000"/>
                <w:kern w:val="0"/>
                <w:sz w:val="44"/>
                <w:szCs w:val="44"/>
                <w:u w:val="none"/>
                <w:lang w:val="en-US" w:eastAsia="zh-CN" w:bidi="ar"/>
              </w:rPr>
            </w:pPr>
            <w:r>
              <w:rPr>
                <w:rFonts w:hint="eastAsia" w:ascii="黑体" w:hAnsi="宋体" w:eastAsia="黑体" w:cs="黑体"/>
                <w:i w:val="0"/>
                <w:iCs w:val="0"/>
                <w:color w:val="000000"/>
                <w:kern w:val="0"/>
                <w:sz w:val="44"/>
                <w:szCs w:val="44"/>
                <w:u w:val="none"/>
                <w:lang w:val="en-US" w:eastAsia="zh-CN" w:bidi="ar"/>
              </w:rPr>
              <w:t>文苑路加油站标识标牌需求清单</w:t>
            </w:r>
          </w:p>
        </w:tc>
      </w:tr>
      <w:tr w14:paraId="5C4DC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EC4E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30C9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280A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E361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详情</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5A088">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规格</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E46B5">
            <w:pPr>
              <w:keepNext w:val="0"/>
              <w:keepLines w:val="0"/>
              <w:widowControl/>
              <w:suppressLineNumbers w:val="0"/>
              <w:jc w:val="center"/>
              <w:textAlignment w:val="center"/>
              <w:rPr>
                <w:rFonts w:hint="eastAsia" w:ascii="宋体" w:hAnsi="宋体" w:eastAsia="宋体" w:cs="宋体"/>
                <w:b/>
                <w:bCs/>
                <w:i w:val="0"/>
                <w:iCs w:val="0"/>
                <w:color w:val="auto"/>
                <w:sz w:val="22"/>
                <w:szCs w:val="22"/>
                <w:u w:val="none"/>
              </w:rPr>
            </w:pPr>
            <w:r>
              <w:rPr>
                <w:rFonts w:hint="eastAsia" w:ascii="宋体" w:hAnsi="宋体" w:eastAsia="宋体" w:cs="宋体"/>
                <w:b/>
                <w:bCs/>
                <w:i w:val="0"/>
                <w:iCs w:val="0"/>
                <w:color w:val="auto"/>
                <w:kern w:val="0"/>
                <w:sz w:val="22"/>
                <w:szCs w:val="22"/>
                <w:u w:val="none"/>
                <w:lang w:val="en-US" w:eastAsia="zh-CN" w:bidi="ar"/>
              </w:rPr>
              <w:t>参考样式图</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6B75B">
            <w:pPr>
              <w:keepNext w:val="0"/>
              <w:keepLines w:val="0"/>
              <w:widowControl/>
              <w:suppressLineNumbers w:val="0"/>
              <w:jc w:val="center"/>
              <w:textAlignment w:val="center"/>
              <w:rPr>
                <w:rFonts w:hint="default"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单价/元</w:t>
            </w: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AC7CC">
            <w:pPr>
              <w:keepNext w:val="0"/>
              <w:keepLines w:val="0"/>
              <w:widowControl/>
              <w:suppressLineNumbers w:val="0"/>
              <w:jc w:val="center"/>
              <w:textAlignment w:val="center"/>
              <w:rPr>
                <w:rFonts w:hint="default"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总价/元</w:t>
            </w:r>
          </w:p>
        </w:tc>
      </w:tr>
      <w:tr w14:paraId="3AFC6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4"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728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93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油品灯箱</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41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4套</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DF5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每个加油机1套</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F609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尺寸1.9m*0.48m，4mm亚克力材质，1.0厚镀锌板骨架，侧挂安装，标识内容与加油枪油品相对应</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A4DB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inline distT="0" distB="0" distL="114300" distR="114300">
                  <wp:extent cx="2020570" cy="1347470"/>
                  <wp:effectExtent l="0" t="0" r="17780" b="5080"/>
                  <wp:docPr id="20" name="图片 20" descr="37845876762cf5e19196aaa322179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37845876762cf5e19196aaa322179d17"/>
                          <pic:cNvPicPr>
                            <a:picLocks noChangeAspect="1"/>
                          </pic:cNvPicPr>
                        </pic:nvPicPr>
                        <pic:blipFill>
                          <a:blip r:embed="rId9"/>
                          <a:stretch>
                            <a:fillRect/>
                          </a:stretch>
                        </pic:blipFill>
                        <pic:spPr>
                          <a:xfrm>
                            <a:off x="0" y="0"/>
                            <a:ext cx="2020570" cy="1347470"/>
                          </a:xfrm>
                          <a:prstGeom prst="rect">
                            <a:avLst/>
                          </a:prstGeom>
                        </pic:spPr>
                      </pic:pic>
                    </a:graphicData>
                  </a:graphic>
                </wp:inline>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3A1BC">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ECEE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3C6BB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0" w:hRule="atLeast"/>
        </w:trPr>
        <w:tc>
          <w:tcPr>
            <w:tcW w:w="429" w:type="dxa"/>
            <w:vMerge w:val="restart"/>
            <w:tcBorders>
              <w:top w:val="single" w:color="000000" w:sz="4" w:space="0"/>
              <w:left w:val="single" w:color="000000" w:sz="4" w:space="0"/>
              <w:bottom w:val="nil"/>
              <w:right w:val="single" w:color="000000" w:sz="4" w:space="0"/>
            </w:tcBorders>
            <w:shd w:val="clear" w:color="auto" w:fill="auto"/>
            <w:vAlign w:val="center"/>
          </w:tcPr>
          <w:p w14:paraId="5554ED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0" w:type="dxa"/>
            <w:vMerge w:val="restart"/>
            <w:tcBorders>
              <w:top w:val="single" w:color="000000" w:sz="4" w:space="0"/>
              <w:left w:val="single" w:color="000000" w:sz="4" w:space="0"/>
              <w:bottom w:val="nil"/>
              <w:right w:val="single" w:color="000000" w:sz="4" w:space="0"/>
            </w:tcBorders>
            <w:shd w:val="clear" w:color="auto" w:fill="auto"/>
            <w:vAlign w:val="center"/>
          </w:tcPr>
          <w:p w14:paraId="540D7A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加油站安全、警示标识标牌</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1D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D5C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顾客进站须知立牌</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356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7DDC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9525</wp:posOffset>
                  </wp:positionH>
                  <wp:positionV relativeFrom="paragraph">
                    <wp:posOffset>38735</wp:posOffset>
                  </wp:positionV>
                  <wp:extent cx="1857375" cy="974090"/>
                  <wp:effectExtent l="0" t="0" r="9525" b="16510"/>
                  <wp:wrapNone/>
                  <wp:docPr id="21" name="图片_4"/>
                  <wp:cNvGraphicFramePr/>
                  <a:graphic xmlns:a="http://schemas.openxmlformats.org/drawingml/2006/main">
                    <a:graphicData uri="http://schemas.openxmlformats.org/drawingml/2006/picture">
                      <pic:pic xmlns:pic="http://schemas.openxmlformats.org/drawingml/2006/picture">
                        <pic:nvPicPr>
                          <pic:cNvPr id="21" name="图片_4"/>
                          <pic:cNvPicPr/>
                        </pic:nvPicPr>
                        <pic:blipFill>
                          <a:blip r:embed="rId10"/>
                          <a:stretch>
                            <a:fillRect/>
                          </a:stretch>
                        </pic:blipFill>
                        <pic:spPr>
                          <a:xfrm>
                            <a:off x="0" y="0"/>
                            <a:ext cx="1857375" cy="974090"/>
                          </a:xfrm>
                          <a:prstGeom prst="rect">
                            <a:avLst/>
                          </a:prstGeom>
                          <a:noFill/>
                          <a:ln>
                            <a:noFill/>
                          </a:ln>
                        </pic:spPr>
                      </pic:pic>
                    </a:graphicData>
                  </a:graphic>
                </wp:anchor>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B7D9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BC66E">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145E3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8" w:hRule="atLeast"/>
        </w:trPr>
        <w:tc>
          <w:tcPr>
            <w:tcW w:w="429" w:type="dxa"/>
            <w:vMerge w:val="continue"/>
            <w:tcBorders>
              <w:top w:val="single" w:color="000000" w:sz="4" w:space="0"/>
              <w:left w:val="single" w:color="000000" w:sz="4" w:space="0"/>
              <w:bottom w:val="nil"/>
              <w:right w:val="single" w:color="000000" w:sz="4" w:space="0"/>
            </w:tcBorders>
            <w:shd w:val="clear" w:color="auto" w:fill="auto"/>
            <w:vAlign w:val="center"/>
          </w:tcPr>
          <w:p w14:paraId="169835F2">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14:paraId="2A4B9907">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C14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CAD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卸油十步法立牌</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303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15C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-19050</wp:posOffset>
                  </wp:positionH>
                  <wp:positionV relativeFrom="paragraph">
                    <wp:posOffset>29210</wp:posOffset>
                  </wp:positionV>
                  <wp:extent cx="1939290" cy="1049020"/>
                  <wp:effectExtent l="0" t="0" r="3810" b="17780"/>
                  <wp:wrapNone/>
                  <wp:docPr id="22" name="图片_5"/>
                  <wp:cNvGraphicFramePr/>
                  <a:graphic xmlns:a="http://schemas.openxmlformats.org/drawingml/2006/main">
                    <a:graphicData uri="http://schemas.openxmlformats.org/drawingml/2006/picture">
                      <pic:pic xmlns:pic="http://schemas.openxmlformats.org/drawingml/2006/picture">
                        <pic:nvPicPr>
                          <pic:cNvPr id="22" name="图片_5"/>
                          <pic:cNvPicPr/>
                        </pic:nvPicPr>
                        <pic:blipFill>
                          <a:blip r:embed="rId11"/>
                          <a:stretch>
                            <a:fillRect/>
                          </a:stretch>
                        </pic:blipFill>
                        <pic:spPr>
                          <a:xfrm>
                            <a:off x="0" y="0"/>
                            <a:ext cx="1939290" cy="1049020"/>
                          </a:xfrm>
                          <a:prstGeom prst="rect">
                            <a:avLst/>
                          </a:prstGeom>
                          <a:noFill/>
                          <a:ln>
                            <a:noFill/>
                          </a:ln>
                        </pic:spPr>
                      </pic:pic>
                    </a:graphicData>
                  </a:graphic>
                </wp:anchor>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57F55">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416F0">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5A663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6" w:hRule="atLeast"/>
        </w:trPr>
        <w:tc>
          <w:tcPr>
            <w:tcW w:w="429" w:type="dxa"/>
            <w:vMerge w:val="continue"/>
            <w:tcBorders>
              <w:top w:val="single" w:color="000000" w:sz="4" w:space="0"/>
              <w:left w:val="single" w:color="000000" w:sz="4" w:space="0"/>
              <w:bottom w:val="nil"/>
              <w:right w:val="single" w:color="000000" w:sz="4" w:space="0"/>
            </w:tcBorders>
            <w:shd w:val="clear" w:color="auto" w:fill="auto"/>
            <w:vAlign w:val="center"/>
          </w:tcPr>
          <w:p w14:paraId="4203333F">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14:paraId="59C2DFB4">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5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0BE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卸油作业指南立牌</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A76E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3329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-9525</wp:posOffset>
                  </wp:positionH>
                  <wp:positionV relativeFrom="paragraph">
                    <wp:posOffset>-8890</wp:posOffset>
                  </wp:positionV>
                  <wp:extent cx="1885315" cy="1003935"/>
                  <wp:effectExtent l="0" t="0" r="635" b="5715"/>
                  <wp:wrapNone/>
                  <wp:docPr id="23" name="图片_6"/>
                  <wp:cNvGraphicFramePr/>
                  <a:graphic xmlns:a="http://schemas.openxmlformats.org/drawingml/2006/main">
                    <a:graphicData uri="http://schemas.openxmlformats.org/drawingml/2006/picture">
                      <pic:pic xmlns:pic="http://schemas.openxmlformats.org/drawingml/2006/picture">
                        <pic:nvPicPr>
                          <pic:cNvPr id="23" name="图片_6"/>
                          <pic:cNvPicPr/>
                        </pic:nvPicPr>
                        <pic:blipFill>
                          <a:blip r:embed="rId12"/>
                          <a:stretch>
                            <a:fillRect/>
                          </a:stretch>
                        </pic:blipFill>
                        <pic:spPr>
                          <a:xfrm>
                            <a:off x="0" y="0"/>
                            <a:ext cx="1885315" cy="1003935"/>
                          </a:xfrm>
                          <a:prstGeom prst="rect">
                            <a:avLst/>
                          </a:prstGeom>
                          <a:noFill/>
                          <a:ln>
                            <a:noFill/>
                          </a:ln>
                        </pic:spPr>
                      </pic:pic>
                    </a:graphicData>
                  </a:graphic>
                </wp:anchor>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FDC8A">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941CB">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5556C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4" w:hRule="atLeast"/>
        </w:trPr>
        <w:tc>
          <w:tcPr>
            <w:tcW w:w="429" w:type="dxa"/>
            <w:vMerge w:val="continue"/>
            <w:tcBorders>
              <w:top w:val="single" w:color="000000" w:sz="4" w:space="0"/>
              <w:left w:val="single" w:color="000000" w:sz="4" w:space="0"/>
              <w:bottom w:val="nil"/>
              <w:right w:val="single" w:color="000000" w:sz="4" w:space="0"/>
            </w:tcBorders>
            <w:shd w:val="clear" w:color="auto" w:fill="auto"/>
            <w:vAlign w:val="center"/>
          </w:tcPr>
          <w:p w14:paraId="5C87E25D">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14:paraId="5E5CE42C">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ECE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1个</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A3D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严禁烟火立牌</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536F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C4CB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0</wp:posOffset>
                  </wp:positionH>
                  <wp:positionV relativeFrom="paragraph">
                    <wp:posOffset>-46990</wp:posOffset>
                  </wp:positionV>
                  <wp:extent cx="1641475" cy="900430"/>
                  <wp:effectExtent l="0" t="0" r="15875" b="13970"/>
                  <wp:wrapNone/>
                  <wp:docPr id="24" name="图片_7"/>
                  <wp:cNvGraphicFramePr/>
                  <a:graphic xmlns:a="http://schemas.openxmlformats.org/drawingml/2006/main">
                    <a:graphicData uri="http://schemas.openxmlformats.org/drawingml/2006/picture">
                      <pic:pic xmlns:pic="http://schemas.openxmlformats.org/drawingml/2006/picture">
                        <pic:nvPicPr>
                          <pic:cNvPr id="24" name="图片_7"/>
                          <pic:cNvPicPr/>
                        </pic:nvPicPr>
                        <pic:blipFill>
                          <a:blip r:embed="rId13"/>
                          <a:stretch>
                            <a:fillRect/>
                          </a:stretch>
                        </pic:blipFill>
                        <pic:spPr>
                          <a:xfrm>
                            <a:off x="0" y="0"/>
                            <a:ext cx="1641475" cy="900430"/>
                          </a:xfrm>
                          <a:prstGeom prst="rect">
                            <a:avLst/>
                          </a:prstGeom>
                          <a:noFill/>
                          <a:ln>
                            <a:noFill/>
                          </a:ln>
                        </pic:spPr>
                      </pic:pic>
                    </a:graphicData>
                  </a:graphic>
                </wp:anchor>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37C16">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7255">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010EC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429" w:type="dxa"/>
            <w:vMerge w:val="continue"/>
            <w:tcBorders>
              <w:top w:val="single" w:color="000000" w:sz="4" w:space="0"/>
              <w:left w:val="single" w:color="000000" w:sz="4" w:space="0"/>
              <w:bottom w:val="nil"/>
              <w:right w:val="single" w:color="000000" w:sz="4" w:space="0"/>
            </w:tcBorders>
            <w:shd w:val="clear" w:color="auto" w:fill="auto"/>
            <w:vAlign w:val="center"/>
          </w:tcPr>
          <w:p w14:paraId="5454413F">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14:paraId="38C1DB1F">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8B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8个</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3E9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立柱警示牌</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3B3D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0BC1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133350</wp:posOffset>
                  </wp:positionH>
                  <wp:positionV relativeFrom="paragraph">
                    <wp:posOffset>-48260</wp:posOffset>
                  </wp:positionV>
                  <wp:extent cx="1355725" cy="1078865"/>
                  <wp:effectExtent l="0" t="0" r="15875" b="6985"/>
                  <wp:wrapNone/>
                  <wp:docPr id="25" name="图片_8"/>
                  <wp:cNvGraphicFramePr/>
                  <a:graphic xmlns:a="http://schemas.openxmlformats.org/drawingml/2006/main">
                    <a:graphicData uri="http://schemas.openxmlformats.org/drawingml/2006/picture">
                      <pic:pic xmlns:pic="http://schemas.openxmlformats.org/drawingml/2006/picture">
                        <pic:nvPicPr>
                          <pic:cNvPr id="25" name="图片_8"/>
                          <pic:cNvPicPr/>
                        </pic:nvPicPr>
                        <pic:blipFill>
                          <a:blip r:embed="rId14"/>
                          <a:stretch>
                            <a:fillRect/>
                          </a:stretch>
                        </pic:blipFill>
                        <pic:spPr>
                          <a:xfrm>
                            <a:off x="0" y="0"/>
                            <a:ext cx="1355725" cy="1078865"/>
                          </a:xfrm>
                          <a:prstGeom prst="rect">
                            <a:avLst/>
                          </a:prstGeom>
                          <a:noFill/>
                          <a:ln>
                            <a:noFill/>
                          </a:ln>
                        </pic:spPr>
                      </pic:pic>
                    </a:graphicData>
                  </a:graphic>
                </wp:anchor>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73B81">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8D98">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3C3CC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429" w:type="dxa"/>
            <w:vMerge w:val="continue"/>
            <w:tcBorders>
              <w:top w:val="single" w:color="000000" w:sz="4" w:space="0"/>
              <w:left w:val="single" w:color="000000" w:sz="4" w:space="0"/>
              <w:bottom w:val="nil"/>
              <w:right w:val="single" w:color="000000" w:sz="4" w:space="0"/>
            </w:tcBorders>
            <w:shd w:val="clear" w:color="auto" w:fill="auto"/>
            <w:vAlign w:val="center"/>
          </w:tcPr>
          <w:p w14:paraId="48A0AB0B">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14:paraId="43CAED88">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684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1FE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门头便利店发光字</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3D2A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05E97">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发光字制作</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2B8FE">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90F0C">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tc>
      </w:tr>
      <w:tr w14:paraId="7530C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1" w:hRule="atLeast"/>
        </w:trPr>
        <w:tc>
          <w:tcPr>
            <w:tcW w:w="429" w:type="dxa"/>
            <w:vMerge w:val="continue"/>
            <w:tcBorders>
              <w:top w:val="single" w:color="000000" w:sz="4" w:space="0"/>
              <w:left w:val="single" w:color="000000" w:sz="4" w:space="0"/>
              <w:bottom w:val="nil"/>
              <w:right w:val="single" w:color="000000" w:sz="4" w:space="0"/>
            </w:tcBorders>
            <w:shd w:val="clear" w:color="auto" w:fill="auto"/>
            <w:vAlign w:val="center"/>
          </w:tcPr>
          <w:p w14:paraId="512AEF88">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14:paraId="39D4407D">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254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1套</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968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交控能源欢迎您发光字</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C0B65">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定制（墙面尺寸：高2.6m 宽8m）</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EE1CE">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4毫米亚克力，镀锌板烤漆发光字 100cm高</w:t>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768EB">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68976">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tc>
      </w:tr>
      <w:tr w14:paraId="372D5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29" w:type="dxa"/>
            <w:vMerge w:val="continue"/>
            <w:tcBorders>
              <w:top w:val="single" w:color="000000" w:sz="4" w:space="0"/>
              <w:left w:val="single" w:color="000000" w:sz="4" w:space="0"/>
              <w:bottom w:val="nil"/>
              <w:right w:val="single" w:color="000000" w:sz="4" w:space="0"/>
            </w:tcBorders>
            <w:shd w:val="clear" w:color="auto" w:fill="auto"/>
            <w:vAlign w:val="center"/>
          </w:tcPr>
          <w:p w14:paraId="0793D554">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14:paraId="203E7C78">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48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4个</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BAE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油品导视牌</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630EF">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4CA9B">
            <w:pPr>
              <w:rPr>
                <w:rFonts w:hint="eastAsia" w:ascii="宋体" w:hAnsi="宋体" w:eastAsia="宋体" w:cs="宋体"/>
                <w:i w:val="0"/>
                <w:iCs w:val="0"/>
                <w:color w:val="auto"/>
                <w:sz w:val="22"/>
                <w:szCs w:val="22"/>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80037">
            <w:pPr>
              <w:rPr>
                <w:rFonts w:hint="eastAsia" w:ascii="宋体" w:hAnsi="宋体" w:eastAsia="宋体" w:cs="宋体"/>
                <w:i w:val="0"/>
                <w:iCs w:val="0"/>
                <w:color w:val="auto"/>
                <w:sz w:val="22"/>
                <w:szCs w:val="22"/>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D114E">
            <w:pPr>
              <w:rPr>
                <w:rFonts w:hint="eastAsia" w:ascii="宋体" w:hAnsi="宋体" w:eastAsia="宋体" w:cs="宋体"/>
                <w:i w:val="0"/>
                <w:iCs w:val="0"/>
                <w:color w:val="auto"/>
                <w:sz w:val="22"/>
                <w:szCs w:val="22"/>
                <w:u w:val="none"/>
              </w:rPr>
            </w:pPr>
          </w:p>
        </w:tc>
      </w:tr>
      <w:tr w14:paraId="30E68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429" w:type="dxa"/>
            <w:vMerge w:val="continue"/>
            <w:tcBorders>
              <w:top w:val="single" w:color="000000" w:sz="4" w:space="0"/>
              <w:left w:val="single" w:color="000000" w:sz="4" w:space="0"/>
              <w:bottom w:val="nil"/>
              <w:right w:val="single" w:color="000000" w:sz="4" w:space="0"/>
            </w:tcBorders>
            <w:shd w:val="clear" w:color="auto" w:fill="auto"/>
            <w:vAlign w:val="center"/>
          </w:tcPr>
          <w:p w14:paraId="2E702F4C">
            <w:pPr>
              <w:jc w:val="center"/>
              <w:rPr>
                <w:rFonts w:hint="eastAsia" w:ascii="宋体" w:hAnsi="宋体" w:eastAsia="宋体" w:cs="宋体"/>
                <w:i w:val="0"/>
                <w:iCs w:val="0"/>
                <w:color w:val="000000"/>
                <w:sz w:val="22"/>
                <w:szCs w:val="22"/>
                <w:u w:val="none"/>
              </w:rPr>
            </w:pPr>
          </w:p>
        </w:tc>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14:paraId="1153956F">
            <w:pPr>
              <w:jc w:val="center"/>
              <w:rPr>
                <w:rFonts w:hint="eastAsia" w:ascii="宋体" w:hAnsi="宋体" w:eastAsia="宋体" w:cs="宋体"/>
                <w:i w:val="0"/>
                <w:iCs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979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56米</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48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立柱灯带</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1ED6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中石化标准</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2ABEC">
            <w:pPr>
              <w:rPr>
                <w:rFonts w:hint="eastAsia" w:ascii="宋体" w:hAnsi="宋体" w:eastAsia="宋体" w:cs="宋体"/>
                <w:i w:val="0"/>
                <w:iCs w:val="0"/>
                <w:color w:val="auto"/>
                <w:sz w:val="22"/>
                <w:szCs w:val="22"/>
                <w:u w:val="none"/>
              </w:rPr>
            </w:pP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C80DC">
            <w:pPr>
              <w:rPr>
                <w:rFonts w:hint="eastAsia" w:ascii="宋体" w:hAnsi="宋体" w:eastAsia="宋体" w:cs="宋体"/>
                <w:i w:val="0"/>
                <w:iCs w:val="0"/>
                <w:color w:val="auto"/>
                <w:sz w:val="22"/>
                <w:szCs w:val="22"/>
                <w:u w:val="none"/>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23614">
            <w:pPr>
              <w:rPr>
                <w:rFonts w:hint="eastAsia" w:ascii="宋体" w:hAnsi="宋体" w:eastAsia="宋体" w:cs="宋体"/>
                <w:i w:val="0"/>
                <w:iCs w:val="0"/>
                <w:color w:val="auto"/>
                <w:sz w:val="22"/>
                <w:szCs w:val="22"/>
                <w:u w:val="none"/>
              </w:rPr>
            </w:pPr>
          </w:p>
        </w:tc>
      </w:tr>
      <w:tr w14:paraId="0B37E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1"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8A3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E86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国省道双向导向牌</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B7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2个</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58D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亳芜大道南北两侧300米处，双F标志杆</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top"/>
          </w:tcPr>
          <w:p w14:paraId="474EF3C2">
            <w:pPr>
              <w:keepNext w:val="0"/>
              <w:keepLines w:val="0"/>
              <w:widowControl/>
              <w:suppressLineNumbers w:val="0"/>
              <w:jc w:val="left"/>
              <w:textAlignment w:val="top"/>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74930</wp:posOffset>
                  </wp:positionH>
                  <wp:positionV relativeFrom="paragraph">
                    <wp:posOffset>1203325</wp:posOffset>
                  </wp:positionV>
                  <wp:extent cx="1638300" cy="2170430"/>
                  <wp:effectExtent l="0" t="0" r="0" b="1270"/>
                  <wp:wrapNone/>
                  <wp:docPr id="26" name="图片_2"/>
                  <wp:cNvGraphicFramePr/>
                  <a:graphic xmlns:a="http://schemas.openxmlformats.org/drawingml/2006/main">
                    <a:graphicData uri="http://schemas.openxmlformats.org/drawingml/2006/picture">
                      <pic:pic xmlns:pic="http://schemas.openxmlformats.org/drawingml/2006/picture">
                        <pic:nvPicPr>
                          <pic:cNvPr id="26" name="图片_2"/>
                          <pic:cNvPicPr/>
                        </pic:nvPicPr>
                        <pic:blipFill>
                          <a:blip r:embed="rId15"/>
                          <a:srcRect t="16827"/>
                          <a:stretch>
                            <a:fillRect/>
                          </a:stretch>
                        </pic:blipFill>
                        <pic:spPr>
                          <a:xfrm>
                            <a:off x="0" y="0"/>
                            <a:ext cx="1638300" cy="2170430"/>
                          </a:xfrm>
                          <a:prstGeom prst="rect">
                            <a:avLst/>
                          </a:prstGeom>
                          <a:noFill/>
                          <a:ln>
                            <a:noFill/>
                          </a:ln>
                        </pic:spPr>
                      </pic:pic>
                    </a:graphicData>
                  </a:graphic>
                </wp:anchor>
              </w:drawing>
            </w:r>
            <w:r>
              <w:rPr>
                <w:rFonts w:hint="eastAsia" w:ascii="宋体" w:hAnsi="宋体" w:eastAsia="宋体" w:cs="宋体"/>
                <w:i w:val="0"/>
                <w:iCs w:val="0"/>
                <w:color w:val="auto"/>
                <w:kern w:val="0"/>
                <w:sz w:val="22"/>
                <w:szCs w:val="22"/>
                <w:u w:val="none"/>
                <w:lang w:val="en-US" w:eastAsia="zh-CN" w:bidi="ar"/>
              </w:rPr>
              <w:t>主杆300*300*6mm*7.5米；悬臂120*120*4mm*5米；法兰720*720*20mm；标志牌尺寸2000*4000mm，采用超强级反光膜；预埋件8-M27*1500（净高）</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9BAEA">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-19050</wp:posOffset>
                  </wp:positionH>
                  <wp:positionV relativeFrom="paragraph">
                    <wp:posOffset>-27940</wp:posOffset>
                  </wp:positionV>
                  <wp:extent cx="2235200" cy="3266440"/>
                  <wp:effectExtent l="0" t="0" r="12700" b="10160"/>
                  <wp:wrapNone/>
                  <wp:docPr id="27" name="图片 18"/>
                  <wp:cNvGraphicFramePr/>
                  <a:graphic xmlns:a="http://schemas.openxmlformats.org/drawingml/2006/main">
                    <a:graphicData uri="http://schemas.openxmlformats.org/drawingml/2006/picture">
                      <pic:pic xmlns:pic="http://schemas.openxmlformats.org/drawingml/2006/picture">
                        <pic:nvPicPr>
                          <pic:cNvPr id="27" name="图片 18"/>
                          <pic:cNvPicPr/>
                        </pic:nvPicPr>
                        <pic:blipFill>
                          <a:blip r:embed="rId16"/>
                          <a:stretch>
                            <a:fillRect/>
                          </a:stretch>
                        </pic:blipFill>
                        <pic:spPr>
                          <a:xfrm>
                            <a:off x="0" y="0"/>
                            <a:ext cx="2235200" cy="3266440"/>
                          </a:xfrm>
                          <a:prstGeom prst="rect">
                            <a:avLst/>
                          </a:prstGeom>
                          <a:noFill/>
                          <a:ln>
                            <a:noFill/>
                          </a:ln>
                        </pic:spPr>
                      </pic:pic>
                    </a:graphicData>
                  </a:graphic>
                </wp:anchor>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2D28F">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C93DB">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4329C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9"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F10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5C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加油机小票打印机</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1B3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8台</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88E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每个加油机2台</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47B53">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三金京汉加油机配套小票打印机</w:t>
            </w:r>
          </w:p>
        </w:tc>
        <w:tc>
          <w:tcPr>
            <w:tcW w:w="3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91C4C">
            <w:pPr>
              <w:keepNext w:val="0"/>
              <w:keepLines w:val="0"/>
              <w:widowControl/>
              <w:suppressLineNumbers w:val="0"/>
              <w:jc w:val="left"/>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37465</wp:posOffset>
                  </wp:positionH>
                  <wp:positionV relativeFrom="paragraph">
                    <wp:posOffset>-9525</wp:posOffset>
                  </wp:positionV>
                  <wp:extent cx="1247775" cy="1404620"/>
                  <wp:effectExtent l="0" t="0" r="9525" b="5080"/>
                  <wp:wrapNone/>
                  <wp:docPr id="28" name="图片_1"/>
                  <wp:cNvGraphicFramePr/>
                  <a:graphic xmlns:a="http://schemas.openxmlformats.org/drawingml/2006/main">
                    <a:graphicData uri="http://schemas.openxmlformats.org/drawingml/2006/picture">
                      <pic:pic xmlns:pic="http://schemas.openxmlformats.org/drawingml/2006/picture">
                        <pic:nvPicPr>
                          <pic:cNvPr id="28" name="图片_1"/>
                          <pic:cNvPicPr/>
                        </pic:nvPicPr>
                        <pic:blipFill>
                          <a:blip r:embed="rId17"/>
                          <a:stretch>
                            <a:fillRect/>
                          </a:stretch>
                        </pic:blipFill>
                        <pic:spPr>
                          <a:xfrm>
                            <a:off x="0" y="0"/>
                            <a:ext cx="1247775" cy="1404620"/>
                          </a:xfrm>
                          <a:prstGeom prst="rect">
                            <a:avLst/>
                          </a:prstGeom>
                          <a:noFill/>
                          <a:ln>
                            <a:noFill/>
                          </a:ln>
                        </pic:spPr>
                      </pic:pic>
                    </a:graphicData>
                  </a:graphic>
                </wp:anchor>
              </w:drawing>
            </w:r>
          </w:p>
        </w:tc>
        <w:tc>
          <w:tcPr>
            <w:tcW w:w="1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2F3E2">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B1AF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207FF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36A2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6285" w:type="dxa"/>
            <w:gridSpan w:val="4"/>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1140D911">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tc>
        <w:tc>
          <w:tcPr>
            <w:tcW w:w="3615"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C130206">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bdr w:val="single" w:color="000000" w:sz="4" w:space="0"/>
                <w:lang w:val="en-US" w:eastAsia="zh-CN" w:bidi="ar"/>
              </w:rPr>
            </w:pPr>
            <w:r>
              <w:rPr>
                <w:rFonts w:hint="eastAsia" w:ascii="宋体" w:hAnsi="宋体" w:eastAsia="宋体" w:cs="宋体"/>
                <w:i w:val="0"/>
                <w:iCs w:val="0"/>
                <w:color w:val="auto"/>
                <w:kern w:val="0"/>
                <w:sz w:val="22"/>
                <w:szCs w:val="22"/>
                <w:u w:val="none"/>
                <w:lang w:val="en-US" w:eastAsia="zh-CN" w:bidi="ar"/>
              </w:rPr>
              <w:t>小计：</w:t>
            </w:r>
          </w:p>
        </w:tc>
        <w:tc>
          <w:tcPr>
            <w:tcW w:w="1800"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7D558F7">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36065C4C">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5C633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9"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DE9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6285" w:type="dxa"/>
            <w:gridSpan w:val="4"/>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47D7CAAA">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tc>
        <w:tc>
          <w:tcPr>
            <w:tcW w:w="3615"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452F5546">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bdr w:val="single" w:color="000000" w:sz="4" w:space="0"/>
                <w:lang w:val="en-US" w:eastAsia="zh-CN" w:bidi="ar"/>
              </w:rPr>
            </w:pPr>
            <w:r>
              <w:rPr>
                <w:rFonts w:hint="eastAsia" w:ascii="宋体" w:hAnsi="宋体" w:eastAsia="宋体" w:cs="宋体"/>
                <w:i w:val="0"/>
                <w:iCs w:val="0"/>
                <w:color w:val="auto"/>
                <w:kern w:val="0"/>
                <w:sz w:val="22"/>
                <w:szCs w:val="22"/>
                <w:u w:val="none"/>
                <w:lang w:val="en-US" w:eastAsia="zh-CN" w:bidi="ar"/>
              </w:rPr>
              <w:t>税率：</w:t>
            </w:r>
          </w:p>
        </w:tc>
        <w:tc>
          <w:tcPr>
            <w:tcW w:w="1800"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EE7EAAA">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1D3BC2BC">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r w14:paraId="045C6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9" w:hRule="atLeast"/>
        </w:trPr>
        <w:tc>
          <w:tcPr>
            <w:tcW w:w="4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87A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6285" w:type="dxa"/>
            <w:gridSpan w:val="4"/>
            <w:tcBorders>
              <w:top w:val="single" w:color="000000" w:sz="4" w:space="0"/>
              <w:left w:val="single" w:color="000000" w:sz="4" w:space="0"/>
              <w:bottom w:val="single" w:color="000000" w:sz="4" w:space="0"/>
              <w:right w:val="single" w:color="000000" w:sz="4" w:space="0"/>
            </w:tcBorders>
            <w:shd w:val="clear" w:color="auto" w:fill="F1F1F1" w:themeFill="background1" w:themeFillShade="F2"/>
            <w:vAlign w:val="center"/>
          </w:tcPr>
          <w:p w14:paraId="51D708F7">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tc>
        <w:tc>
          <w:tcPr>
            <w:tcW w:w="3615"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011F7703">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bdr w:val="single" w:color="000000" w:sz="4" w:space="0"/>
                <w:lang w:val="en-US" w:eastAsia="zh-CN" w:bidi="ar"/>
              </w:rPr>
            </w:pPr>
            <w:r>
              <w:rPr>
                <w:rFonts w:hint="eastAsia" w:ascii="宋体" w:hAnsi="宋体" w:eastAsia="宋体" w:cs="宋体"/>
                <w:i w:val="0"/>
                <w:iCs w:val="0"/>
                <w:color w:val="auto"/>
                <w:kern w:val="0"/>
                <w:sz w:val="22"/>
                <w:szCs w:val="22"/>
                <w:u w:val="none"/>
                <w:lang w:val="en-US" w:eastAsia="zh-CN" w:bidi="ar"/>
              </w:rPr>
              <w:t>价税合计：</w:t>
            </w:r>
          </w:p>
        </w:tc>
        <w:tc>
          <w:tcPr>
            <w:tcW w:w="1800"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0F1E9D2F">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F1F1F1" w:themeFill="background1" w:themeFillShade="F2"/>
            <w:noWrap/>
            <w:vAlign w:val="center"/>
          </w:tcPr>
          <w:p w14:paraId="289723B2">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bdr w:val="single" w:color="000000" w:sz="4" w:space="0"/>
                <w:lang w:val="en-US" w:eastAsia="zh-CN" w:bidi="ar"/>
              </w:rPr>
            </w:pPr>
          </w:p>
        </w:tc>
      </w:tr>
    </w:tbl>
    <w:p w14:paraId="62443EC5">
      <w:pPr>
        <w:widowControl w:val="0"/>
        <w:numPr>
          <w:ilvl w:val="0"/>
          <w:numId w:val="0"/>
        </w:numPr>
        <w:jc w:val="both"/>
        <w:rPr>
          <w:rFonts w:hint="eastAsia"/>
          <w:lang w:val="en-US" w:eastAsia="zh-CN"/>
        </w:rPr>
        <w:sectPr>
          <w:footerReference r:id="rId7"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s="Times New Roman"/>
          <w:b/>
          <w:bCs/>
          <w:kern w:val="0"/>
          <w:sz w:val="28"/>
          <w:szCs w:val="28"/>
          <w:highlight w:val="none"/>
          <w:lang w:val="en-US" w:eastAsia="zh-CN"/>
        </w:rPr>
        <w:t>注：以上设备含运输、上楼、安装、以及设备支架或外出墙面打孔等费用，全部由供应商承担，采购人不额外支出费用。</w:t>
      </w:r>
    </w:p>
    <w:p w14:paraId="191C08A5">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bookmarkEnd w:id="306"/>
    </w:p>
    <w:p w14:paraId="3DAB7550">
      <w:pPr>
        <w:pStyle w:val="4"/>
        <w:jc w:val="left"/>
        <w:rPr>
          <w:rFonts w:hint="eastAsia" w:eastAsiaTheme="minorEastAsia"/>
          <w:lang w:val="en-US" w:eastAsia="zh-CN"/>
        </w:rPr>
      </w:pPr>
      <w:bookmarkStart w:id="307" w:name="_Toc246997116"/>
      <w:bookmarkStart w:id="308" w:name="_Toc296602618"/>
      <w:bookmarkStart w:id="309" w:name="_Toc246996373"/>
      <w:bookmarkStart w:id="310" w:name="_Toc179632828"/>
      <w:bookmarkStart w:id="311" w:name="_Toc247085891"/>
      <w:r>
        <w:t>（一）</w:t>
      </w:r>
      <w:bookmarkEnd w:id="307"/>
      <w:bookmarkEnd w:id="308"/>
      <w:bookmarkEnd w:id="309"/>
      <w:bookmarkEnd w:id="310"/>
      <w:bookmarkEnd w:id="311"/>
      <w:r>
        <w:rPr>
          <w:rFonts w:hint="eastAsia"/>
          <w:lang w:val="en-US" w:eastAsia="zh-CN"/>
        </w:rPr>
        <w:t>营业执照</w:t>
      </w:r>
    </w:p>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52736194">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CFABE7D">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6F29E4C3">
      <w:pPr>
        <w:rPr>
          <w:rFonts w:hint="default" w:ascii="Times New Roman" w:hAnsi="Times New Roman" w:eastAsia="宋体" w:cs="Times New Roman"/>
          <w:b w:val="0"/>
          <w:bCs w:val="0"/>
          <w:kern w:val="0"/>
          <w:sz w:val="24"/>
          <w:szCs w:val="24"/>
          <w:highlight w:val="none"/>
          <w:lang w:val="en-US" w:eastAsia="zh-CN" w:bidi="ar-SA"/>
        </w:rPr>
      </w:pPr>
    </w:p>
    <w:p w14:paraId="3F0DF49C">
      <w:pPr>
        <w:rPr>
          <w:rFonts w:hint="default" w:ascii="Times New Roman" w:hAnsi="Times New Roman" w:eastAsia="宋体" w:cs="Times New Roman"/>
          <w:b w:val="0"/>
          <w:bCs w:val="0"/>
          <w:kern w:val="0"/>
          <w:sz w:val="24"/>
          <w:szCs w:val="24"/>
          <w:highlight w:val="none"/>
          <w:lang w:val="en-US" w:eastAsia="zh-CN" w:bidi="ar-SA"/>
        </w:rPr>
      </w:pPr>
    </w:p>
    <w:p w14:paraId="45CDD42C">
      <w:pPr>
        <w:rPr>
          <w:rFonts w:hint="default" w:ascii="Times New Roman" w:hAnsi="Times New Roman" w:eastAsia="宋体" w:cs="Times New Roman"/>
          <w:b w:val="0"/>
          <w:bCs w:val="0"/>
          <w:kern w:val="0"/>
          <w:sz w:val="24"/>
          <w:szCs w:val="24"/>
          <w:highlight w:val="none"/>
          <w:lang w:val="en-US" w:eastAsia="zh-CN" w:bidi="ar-SA"/>
        </w:rPr>
      </w:pPr>
    </w:p>
    <w:p w14:paraId="6849BA8E">
      <w:pPr>
        <w:rPr>
          <w:rFonts w:hint="default" w:ascii="Times New Roman" w:hAnsi="Times New Roman" w:eastAsia="宋体" w:cs="Times New Roman"/>
          <w:b w:val="0"/>
          <w:bCs w:val="0"/>
          <w:kern w:val="0"/>
          <w:sz w:val="24"/>
          <w:szCs w:val="24"/>
          <w:highlight w:val="none"/>
          <w:lang w:val="en-US" w:eastAsia="zh-CN" w:bidi="ar-SA"/>
        </w:rPr>
      </w:pPr>
    </w:p>
    <w:p w14:paraId="7F928A14">
      <w:pPr>
        <w:rPr>
          <w:rFonts w:hint="default" w:ascii="Times New Roman" w:hAnsi="Times New Roman" w:eastAsia="宋体" w:cs="Times New Roman"/>
          <w:b w:val="0"/>
          <w:bCs w:val="0"/>
          <w:kern w:val="0"/>
          <w:sz w:val="24"/>
          <w:szCs w:val="24"/>
          <w:highlight w:val="none"/>
          <w:lang w:val="en-US" w:eastAsia="zh-CN" w:bidi="ar-SA"/>
        </w:rPr>
      </w:pPr>
    </w:p>
    <w:p w14:paraId="147836F2">
      <w:pPr>
        <w:rPr>
          <w:rFonts w:hint="default" w:ascii="Times New Roman" w:hAnsi="Times New Roman" w:eastAsia="宋体" w:cs="Times New Roman"/>
          <w:b w:val="0"/>
          <w:bCs w:val="0"/>
          <w:kern w:val="0"/>
          <w:sz w:val="24"/>
          <w:szCs w:val="24"/>
          <w:highlight w:val="none"/>
          <w:lang w:val="en-US" w:eastAsia="zh-CN" w:bidi="ar-SA"/>
        </w:rPr>
      </w:pPr>
    </w:p>
    <w:p w14:paraId="703E6C60">
      <w:pPr>
        <w:rPr>
          <w:rFonts w:hint="default" w:ascii="Times New Roman" w:hAnsi="Times New Roman" w:eastAsia="宋体" w:cs="Times New Roman"/>
          <w:b w:val="0"/>
          <w:bCs w:val="0"/>
          <w:kern w:val="0"/>
          <w:sz w:val="24"/>
          <w:szCs w:val="24"/>
          <w:highlight w:val="none"/>
          <w:lang w:val="en-US" w:eastAsia="zh-CN" w:bidi="ar-SA"/>
        </w:rPr>
      </w:pPr>
    </w:p>
    <w:p w14:paraId="6453B006">
      <w:pPr>
        <w:rPr>
          <w:rFonts w:hint="default" w:ascii="Times New Roman" w:hAnsi="Times New Roman" w:eastAsia="宋体" w:cs="Times New Roman"/>
          <w:b w:val="0"/>
          <w:bCs w:val="0"/>
          <w:kern w:val="0"/>
          <w:sz w:val="24"/>
          <w:szCs w:val="24"/>
          <w:highlight w:val="none"/>
          <w:lang w:val="en-US" w:eastAsia="zh-CN" w:bidi="ar-SA"/>
        </w:rPr>
      </w:pPr>
    </w:p>
    <w:p w14:paraId="64E13FD5">
      <w:pPr>
        <w:rPr>
          <w:rFonts w:hint="default" w:ascii="Times New Roman" w:hAnsi="Times New Roman" w:eastAsia="宋体" w:cs="Times New Roman"/>
          <w:b w:val="0"/>
          <w:bCs w:val="0"/>
          <w:kern w:val="0"/>
          <w:sz w:val="24"/>
          <w:szCs w:val="24"/>
          <w:highlight w:val="none"/>
          <w:lang w:val="en-US" w:eastAsia="zh-CN" w:bidi="ar-SA"/>
        </w:rPr>
      </w:pPr>
    </w:p>
    <w:p w14:paraId="7FD6352C">
      <w:pPr>
        <w:rPr>
          <w:rFonts w:hint="default" w:ascii="Times New Roman" w:hAnsi="Times New Roman" w:eastAsia="宋体" w:cs="Times New Roman"/>
          <w:b w:val="0"/>
          <w:bCs w:val="0"/>
          <w:kern w:val="0"/>
          <w:sz w:val="24"/>
          <w:szCs w:val="24"/>
          <w:highlight w:val="none"/>
          <w:lang w:val="en-US" w:eastAsia="zh-CN" w:bidi="ar-SA"/>
        </w:rPr>
      </w:pPr>
    </w:p>
    <w:p w14:paraId="526B3DF6">
      <w:pPr>
        <w:rPr>
          <w:rFonts w:hint="default" w:ascii="Times New Roman" w:hAnsi="Times New Roman" w:eastAsia="宋体" w:cs="Times New Roman"/>
          <w:b w:val="0"/>
          <w:bCs w:val="0"/>
          <w:kern w:val="0"/>
          <w:sz w:val="24"/>
          <w:szCs w:val="24"/>
          <w:highlight w:val="none"/>
          <w:lang w:val="en-US" w:eastAsia="zh-CN" w:bidi="ar-SA"/>
        </w:rPr>
      </w:pPr>
    </w:p>
    <w:p w14:paraId="103421E6">
      <w:pPr>
        <w:rPr>
          <w:rFonts w:hint="default" w:ascii="Times New Roman" w:hAnsi="Times New Roman" w:eastAsia="宋体" w:cs="Times New Roman"/>
          <w:b w:val="0"/>
          <w:bCs w:val="0"/>
          <w:kern w:val="0"/>
          <w:sz w:val="24"/>
          <w:szCs w:val="24"/>
          <w:highlight w:val="none"/>
          <w:lang w:val="en-US" w:eastAsia="zh-CN" w:bidi="ar-SA"/>
        </w:rPr>
      </w:pPr>
    </w:p>
    <w:p w14:paraId="5F60D8D9">
      <w:pPr>
        <w:rPr>
          <w:rFonts w:hint="default" w:ascii="Times New Roman" w:hAnsi="Times New Roman" w:eastAsia="宋体" w:cs="Times New Roman"/>
          <w:b w:val="0"/>
          <w:bCs w:val="0"/>
          <w:kern w:val="0"/>
          <w:sz w:val="24"/>
          <w:szCs w:val="24"/>
          <w:highlight w:val="none"/>
          <w:lang w:val="en-US" w:eastAsia="zh-CN" w:bidi="ar-SA"/>
        </w:rPr>
      </w:pPr>
    </w:p>
    <w:p w14:paraId="3BD4D402">
      <w:pPr>
        <w:rPr>
          <w:rFonts w:hint="default" w:ascii="Times New Roman" w:hAnsi="Times New Roman" w:eastAsia="宋体" w:cs="Times New Roman"/>
          <w:b w:val="0"/>
          <w:bCs w:val="0"/>
          <w:kern w:val="0"/>
          <w:sz w:val="24"/>
          <w:szCs w:val="24"/>
          <w:highlight w:val="none"/>
          <w:lang w:val="en-US" w:eastAsia="zh-CN" w:bidi="ar-SA"/>
        </w:rPr>
      </w:pPr>
    </w:p>
    <w:p w14:paraId="13CB0710">
      <w:pPr>
        <w:rPr>
          <w:rFonts w:hint="default" w:ascii="Times New Roman" w:hAnsi="Times New Roman" w:eastAsia="宋体" w:cs="Times New Roman"/>
          <w:b w:val="0"/>
          <w:bCs w:val="0"/>
          <w:kern w:val="0"/>
          <w:sz w:val="24"/>
          <w:szCs w:val="24"/>
          <w:highlight w:val="none"/>
          <w:lang w:val="en-US" w:eastAsia="zh-CN" w:bidi="ar-SA"/>
        </w:rPr>
      </w:pPr>
    </w:p>
    <w:p w14:paraId="69D5F05C">
      <w:pPr>
        <w:rPr>
          <w:rFonts w:hint="default" w:ascii="Times New Roman" w:hAnsi="Times New Roman" w:eastAsia="宋体" w:cs="Times New Roman"/>
          <w:b w:val="0"/>
          <w:bCs w:val="0"/>
          <w:kern w:val="0"/>
          <w:sz w:val="24"/>
          <w:szCs w:val="24"/>
          <w:highlight w:val="none"/>
          <w:lang w:val="en-US" w:eastAsia="zh-CN" w:bidi="ar-SA"/>
        </w:rPr>
      </w:pPr>
    </w:p>
    <w:p w14:paraId="46252CC0">
      <w:pPr>
        <w:rPr>
          <w:rFonts w:hint="default" w:ascii="Times New Roman" w:hAnsi="Times New Roman" w:eastAsia="宋体" w:cs="Times New Roman"/>
          <w:b w:val="0"/>
          <w:bCs w:val="0"/>
          <w:kern w:val="0"/>
          <w:sz w:val="24"/>
          <w:szCs w:val="24"/>
          <w:highlight w:val="none"/>
          <w:lang w:val="en-US" w:eastAsia="zh-CN" w:bidi="ar-SA"/>
        </w:rPr>
      </w:pPr>
    </w:p>
    <w:p w14:paraId="110C86DA">
      <w:pPr>
        <w:rPr>
          <w:rFonts w:hint="default" w:ascii="Times New Roman" w:hAnsi="Times New Roman" w:eastAsia="宋体" w:cs="Times New Roman"/>
          <w:b w:val="0"/>
          <w:bCs w:val="0"/>
          <w:kern w:val="0"/>
          <w:sz w:val="24"/>
          <w:szCs w:val="24"/>
          <w:highlight w:val="none"/>
          <w:lang w:val="en-US" w:eastAsia="zh-CN" w:bidi="ar-SA"/>
        </w:rPr>
      </w:pPr>
    </w:p>
    <w:p w14:paraId="1A0BE437">
      <w:pPr>
        <w:rPr>
          <w:rFonts w:hint="default" w:ascii="Times New Roman" w:hAnsi="Times New Roman" w:eastAsia="宋体" w:cs="Times New Roman"/>
          <w:b w:val="0"/>
          <w:bCs w:val="0"/>
          <w:kern w:val="0"/>
          <w:sz w:val="24"/>
          <w:szCs w:val="24"/>
          <w:highlight w:val="none"/>
          <w:lang w:val="en-US" w:eastAsia="zh-CN" w:bidi="ar-SA"/>
        </w:rPr>
      </w:pPr>
    </w:p>
    <w:p w14:paraId="2012B1C3">
      <w:pPr>
        <w:rPr>
          <w:rFonts w:hint="default" w:ascii="Times New Roman" w:hAnsi="Times New Roman" w:eastAsia="宋体" w:cs="Times New Roman"/>
          <w:b w:val="0"/>
          <w:bCs w:val="0"/>
          <w:kern w:val="0"/>
          <w:sz w:val="24"/>
          <w:szCs w:val="24"/>
          <w:highlight w:val="none"/>
          <w:lang w:val="en-US" w:eastAsia="zh-CN" w:bidi="ar-SA"/>
        </w:rPr>
      </w:pPr>
    </w:p>
    <w:p w14:paraId="79CA6011">
      <w:pPr>
        <w:rPr>
          <w:rFonts w:hint="default" w:ascii="Times New Roman" w:hAnsi="Times New Roman" w:eastAsia="宋体" w:cs="Times New Roman"/>
          <w:b w:val="0"/>
          <w:bCs w:val="0"/>
          <w:kern w:val="0"/>
          <w:sz w:val="24"/>
          <w:szCs w:val="24"/>
          <w:highlight w:val="none"/>
          <w:lang w:val="en-US" w:eastAsia="zh-CN" w:bidi="ar-SA"/>
        </w:rPr>
      </w:pPr>
    </w:p>
    <w:p w14:paraId="6148D738">
      <w:pPr>
        <w:rPr>
          <w:rFonts w:hint="default" w:ascii="Times New Roman" w:hAnsi="Times New Roman" w:eastAsia="宋体" w:cs="Times New Roman"/>
          <w:b w:val="0"/>
          <w:bCs w:val="0"/>
          <w:kern w:val="0"/>
          <w:sz w:val="24"/>
          <w:szCs w:val="24"/>
          <w:highlight w:val="none"/>
          <w:lang w:val="en-US" w:eastAsia="zh-CN" w:bidi="ar-SA"/>
        </w:rPr>
      </w:pPr>
    </w:p>
    <w:p w14:paraId="287D89A7">
      <w:pPr>
        <w:rPr>
          <w:rFonts w:hint="default" w:ascii="Times New Roman" w:hAnsi="Times New Roman" w:eastAsia="宋体" w:cs="Times New Roman"/>
          <w:b w:val="0"/>
          <w:bCs w:val="0"/>
          <w:kern w:val="0"/>
          <w:sz w:val="24"/>
          <w:szCs w:val="24"/>
          <w:highlight w:val="none"/>
          <w:lang w:val="en-US" w:eastAsia="zh-CN" w:bidi="ar-SA"/>
        </w:rPr>
      </w:pPr>
    </w:p>
    <w:p w14:paraId="0AEFF55F">
      <w:pPr>
        <w:rPr>
          <w:rFonts w:hint="default" w:ascii="Times New Roman" w:hAnsi="Times New Roman" w:eastAsia="宋体" w:cs="Times New Roman"/>
          <w:b w:val="0"/>
          <w:bCs w:val="0"/>
          <w:kern w:val="0"/>
          <w:sz w:val="24"/>
          <w:szCs w:val="24"/>
          <w:highlight w:val="none"/>
          <w:lang w:val="en-US" w:eastAsia="zh-CN" w:bidi="ar-SA"/>
        </w:rPr>
      </w:pPr>
    </w:p>
    <w:p w14:paraId="3BAB9241">
      <w:pPr>
        <w:rPr>
          <w:rFonts w:hint="default" w:ascii="Times New Roman" w:hAnsi="Times New Roman" w:eastAsia="宋体" w:cs="Times New Roman"/>
          <w:b w:val="0"/>
          <w:bCs w:val="0"/>
          <w:kern w:val="0"/>
          <w:sz w:val="24"/>
          <w:szCs w:val="24"/>
          <w:highlight w:val="none"/>
          <w:lang w:val="en-US" w:eastAsia="zh-CN" w:bidi="ar-SA"/>
        </w:rPr>
      </w:pPr>
    </w:p>
    <w:p w14:paraId="2B1ABABC">
      <w:pPr>
        <w:rPr>
          <w:rFonts w:hint="default" w:ascii="Times New Roman" w:hAnsi="Times New Roman" w:eastAsia="宋体" w:cs="Times New Roman"/>
          <w:b w:val="0"/>
          <w:bCs w:val="0"/>
          <w:kern w:val="0"/>
          <w:sz w:val="24"/>
          <w:szCs w:val="24"/>
          <w:highlight w:val="none"/>
          <w:lang w:val="en-US" w:eastAsia="zh-CN" w:bidi="ar-SA"/>
        </w:rPr>
      </w:pPr>
    </w:p>
    <w:p w14:paraId="10B396D0">
      <w:pPr>
        <w:rPr>
          <w:rFonts w:hint="default" w:ascii="Times New Roman" w:hAnsi="Times New Roman" w:eastAsia="宋体" w:cs="Times New Roman"/>
          <w:b w:val="0"/>
          <w:bCs w:val="0"/>
          <w:kern w:val="0"/>
          <w:sz w:val="24"/>
          <w:szCs w:val="24"/>
          <w:highlight w:val="none"/>
          <w:lang w:val="en-US" w:eastAsia="zh-CN" w:bidi="ar-SA"/>
        </w:rPr>
      </w:pPr>
    </w:p>
    <w:p w14:paraId="00F50C15">
      <w:pPr>
        <w:rPr>
          <w:rFonts w:hint="default" w:ascii="Times New Roman" w:hAnsi="Times New Roman" w:eastAsia="宋体" w:cs="Times New Roman"/>
          <w:b w:val="0"/>
          <w:bCs w:val="0"/>
          <w:kern w:val="0"/>
          <w:sz w:val="24"/>
          <w:szCs w:val="24"/>
          <w:highlight w:val="none"/>
          <w:lang w:val="en-US" w:eastAsia="zh-CN" w:bidi="ar-SA"/>
        </w:rPr>
      </w:pPr>
    </w:p>
    <w:p w14:paraId="1F7F1592">
      <w:pPr>
        <w:rPr>
          <w:rFonts w:hint="default" w:ascii="Times New Roman" w:hAnsi="Times New Roman" w:eastAsia="宋体" w:cs="Times New Roman"/>
          <w:b w:val="0"/>
          <w:bCs w:val="0"/>
          <w:kern w:val="0"/>
          <w:sz w:val="24"/>
          <w:szCs w:val="24"/>
          <w:highlight w:val="none"/>
          <w:lang w:val="en-US" w:eastAsia="zh-CN" w:bidi="ar-SA"/>
        </w:rPr>
      </w:pPr>
    </w:p>
    <w:p w14:paraId="1956365F">
      <w:pPr>
        <w:rPr>
          <w:rFonts w:hint="default" w:ascii="Times New Roman" w:hAnsi="Times New Roman" w:eastAsia="宋体" w:cs="Times New Roman"/>
          <w:b w:val="0"/>
          <w:bCs w:val="0"/>
          <w:kern w:val="0"/>
          <w:sz w:val="24"/>
          <w:szCs w:val="24"/>
          <w:highlight w:val="none"/>
          <w:lang w:val="en-US" w:eastAsia="zh-CN" w:bidi="ar-SA"/>
        </w:rPr>
      </w:pPr>
    </w:p>
    <w:p w14:paraId="768497D0">
      <w:pPr>
        <w:rPr>
          <w:rFonts w:hint="default" w:ascii="Times New Roman" w:hAnsi="Times New Roman" w:eastAsia="宋体" w:cs="Times New Roman"/>
          <w:b w:val="0"/>
          <w:bCs w:val="0"/>
          <w:kern w:val="0"/>
          <w:sz w:val="24"/>
          <w:szCs w:val="24"/>
          <w:highlight w:val="none"/>
          <w:lang w:val="en-US" w:eastAsia="zh-CN" w:bidi="ar-SA"/>
        </w:rPr>
      </w:pPr>
    </w:p>
    <w:p w14:paraId="37B9C7F1">
      <w:pPr>
        <w:rPr>
          <w:rFonts w:hint="default" w:ascii="Times New Roman" w:hAnsi="Times New Roman" w:eastAsia="宋体" w:cs="Times New Roman"/>
          <w:b w:val="0"/>
          <w:bCs w:val="0"/>
          <w:kern w:val="0"/>
          <w:sz w:val="24"/>
          <w:szCs w:val="24"/>
          <w:highlight w:val="none"/>
          <w:lang w:val="en-US" w:eastAsia="zh-CN" w:bidi="ar-SA"/>
        </w:rPr>
      </w:pPr>
    </w:p>
    <w:p w14:paraId="6D09E588">
      <w:pPr>
        <w:rPr>
          <w:rFonts w:hint="default" w:ascii="Times New Roman" w:hAnsi="Times New Roman" w:eastAsia="宋体" w:cs="Times New Roman"/>
          <w:b w:val="0"/>
          <w:bCs w:val="0"/>
          <w:kern w:val="0"/>
          <w:sz w:val="24"/>
          <w:szCs w:val="24"/>
          <w:highlight w:val="none"/>
          <w:lang w:val="en-US" w:eastAsia="zh-CN" w:bidi="ar-SA"/>
        </w:rPr>
      </w:pPr>
    </w:p>
    <w:p w14:paraId="7FDDC3BB">
      <w:pPr>
        <w:rPr>
          <w:rFonts w:hint="default" w:ascii="Times New Roman" w:hAnsi="Times New Roman" w:eastAsia="宋体" w:cs="Times New Roman"/>
          <w:b w:val="0"/>
          <w:bCs w:val="0"/>
          <w:kern w:val="0"/>
          <w:sz w:val="24"/>
          <w:szCs w:val="24"/>
          <w:highlight w:val="none"/>
          <w:lang w:val="en-US" w:eastAsia="zh-CN" w:bidi="ar-SA"/>
        </w:rPr>
      </w:pPr>
    </w:p>
    <w:p w14:paraId="0FA90415">
      <w:pPr>
        <w:rPr>
          <w:rFonts w:hint="default" w:ascii="Times New Roman" w:hAnsi="Times New Roman" w:eastAsia="宋体" w:cs="Times New Roman"/>
          <w:b w:val="0"/>
          <w:bCs w:val="0"/>
          <w:kern w:val="0"/>
          <w:sz w:val="24"/>
          <w:szCs w:val="24"/>
          <w:highlight w:val="none"/>
          <w:lang w:val="en-US" w:eastAsia="zh-CN" w:bidi="ar-SA"/>
        </w:rPr>
      </w:pPr>
    </w:p>
    <w:p w14:paraId="30945E81">
      <w:pPr>
        <w:rPr>
          <w:rFonts w:hint="default" w:ascii="Times New Roman" w:hAnsi="Times New Roman" w:eastAsia="宋体" w:cs="Times New Roman"/>
          <w:b w:val="0"/>
          <w:bCs w:val="0"/>
          <w:kern w:val="0"/>
          <w:sz w:val="24"/>
          <w:szCs w:val="24"/>
          <w:highlight w:val="none"/>
          <w:lang w:val="en-US" w:eastAsia="zh-CN" w:bidi="ar-SA"/>
        </w:rPr>
      </w:pPr>
    </w:p>
    <w:p w14:paraId="14B31AE2">
      <w:pPr>
        <w:rPr>
          <w:rFonts w:hint="default" w:ascii="Times New Roman" w:hAnsi="Times New Roman" w:eastAsia="宋体" w:cs="Times New Roman"/>
          <w:b w:val="0"/>
          <w:bCs w:val="0"/>
          <w:kern w:val="0"/>
          <w:sz w:val="24"/>
          <w:szCs w:val="24"/>
          <w:highlight w:val="none"/>
          <w:lang w:val="en-US" w:eastAsia="zh-CN" w:bidi="ar-SA"/>
        </w:rPr>
      </w:pPr>
    </w:p>
    <w:p w14:paraId="2AA4CA2D">
      <w:pPr>
        <w:rPr>
          <w:rFonts w:hint="default" w:ascii="Times New Roman" w:hAnsi="Times New Roman" w:eastAsia="宋体" w:cs="Times New Roman"/>
          <w:b w:val="0"/>
          <w:bCs w:val="0"/>
          <w:kern w:val="0"/>
          <w:sz w:val="24"/>
          <w:szCs w:val="24"/>
          <w:highlight w:val="none"/>
          <w:lang w:val="en-US" w:eastAsia="zh-CN" w:bidi="ar-SA"/>
        </w:rPr>
      </w:pPr>
    </w:p>
    <w:p w14:paraId="09208C3C">
      <w:pPr>
        <w:rPr>
          <w:rFonts w:hint="default" w:ascii="Times New Roman" w:hAnsi="Times New Roman" w:eastAsia="宋体" w:cs="Times New Roman"/>
          <w:b w:val="0"/>
          <w:bCs w:val="0"/>
          <w:kern w:val="0"/>
          <w:sz w:val="24"/>
          <w:szCs w:val="24"/>
          <w:highlight w:val="none"/>
          <w:lang w:val="en-US" w:eastAsia="zh-CN" w:bidi="ar-SA"/>
        </w:rPr>
      </w:pPr>
    </w:p>
    <w:p w14:paraId="6BBAB337">
      <w:pPr>
        <w:rPr>
          <w:rFonts w:hint="default" w:ascii="Times New Roman" w:hAnsi="Times New Roman" w:eastAsia="宋体" w:cs="Times New Roman"/>
          <w:b w:val="0"/>
          <w:bCs w:val="0"/>
          <w:kern w:val="0"/>
          <w:sz w:val="24"/>
          <w:szCs w:val="24"/>
          <w:highlight w:val="none"/>
          <w:lang w:val="en-US" w:eastAsia="zh-CN" w:bidi="ar-SA"/>
        </w:rPr>
      </w:pPr>
    </w:p>
    <w:p w14:paraId="16021A21">
      <w:pPr>
        <w:pStyle w:val="3"/>
        <w:jc w:val="center"/>
        <w:rPr>
          <w:rFonts w:hint="eastAsia" w:ascii="Times New Roman" w:hAnsi="Times New Roman" w:eastAsia="黑体"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八、其他</w:t>
      </w:r>
      <w:r>
        <w:rPr>
          <w:rFonts w:hint="eastAsia" w:ascii="Times New Roman" w:hAnsi="Times New Roman" w:eastAsia="黑体" w:cs="Times New Roman"/>
          <w:b/>
          <w:bCs/>
          <w:kern w:val="2"/>
          <w:sz w:val="32"/>
          <w:szCs w:val="32"/>
          <w:highlight w:val="none"/>
          <w:lang w:val="en-US" w:eastAsia="zh-CN" w:bidi="ar-SA"/>
        </w:rPr>
        <w:t>资料</w:t>
      </w:r>
    </w:p>
    <w:p w14:paraId="2213C08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FA96597">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FBD1984-7708-43EE-B50C-3436CB3B1D5E}"/>
  </w:font>
  <w:font w:name="Arial">
    <w:panose1 w:val="020B0604020202020204"/>
    <w:charset w:val="01"/>
    <w:family w:val="swiss"/>
    <w:pitch w:val="default"/>
    <w:sig w:usb0="E0002EFF" w:usb1="C000785B" w:usb2="00000009" w:usb3="00000000" w:csb0="400001FF" w:csb1="FFFF0000"/>
    <w:embedRegular r:id="rId2" w:fontKey="{1775DD9A-7502-47D1-82AA-69B008CB1C8C}"/>
  </w:font>
  <w:font w:name="黑体">
    <w:panose1 w:val="02010609060101010101"/>
    <w:charset w:val="86"/>
    <w:family w:val="auto"/>
    <w:pitch w:val="default"/>
    <w:sig w:usb0="800002BF" w:usb1="38CF7CFA" w:usb2="00000016" w:usb3="00000000" w:csb0="00040001" w:csb1="00000000"/>
    <w:embedRegular r:id="rId3" w:fontKey="{90478F63-2EE0-4BDD-8B9E-AF7EFF2BBD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963C862A-3E08-4CA2-AE43-4109E755F432}"/>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2095EF65-0E27-44C7-B77C-95B57758AD69}"/>
  </w:font>
  <w:font w:name="仿宋_GB2312">
    <w:panose1 w:val="02010609030101010101"/>
    <w:charset w:val="86"/>
    <w:family w:val="modern"/>
    <w:pitch w:val="default"/>
    <w:sig w:usb0="00000001" w:usb1="080E0000" w:usb2="00000000" w:usb3="00000000" w:csb0="00040000" w:csb1="00000000"/>
    <w:embedRegular r:id="rId6" w:fontKey="{980FCC8E-E445-4A5A-A4F5-EA927D3EA7F2}"/>
  </w:font>
  <w:font w:name="楷体">
    <w:panose1 w:val="02010609060101010101"/>
    <w:charset w:val="86"/>
    <w:family w:val="auto"/>
    <w:pitch w:val="default"/>
    <w:sig w:usb0="800002BF" w:usb1="38CF7CFA" w:usb2="00000016" w:usb3="00000000" w:csb0="00040001" w:csb1="00000000"/>
    <w:embedRegular r:id="rId7" w:fontKey="{4ABDF000-4F71-4868-90A3-9B7BFB3D767C}"/>
  </w:font>
  <w:font w:name="Wingdings 2">
    <w:panose1 w:val="05020102010507070707"/>
    <w:charset w:val="00"/>
    <w:family w:val="auto"/>
    <w:pitch w:val="default"/>
    <w:sig w:usb0="00000000" w:usb1="00000000" w:usb2="00000000" w:usb3="00000000" w:csb0="80000000" w:csb1="00000000"/>
    <w:embedRegular r:id="rId8" w:fontKey="{1A8FA208-5F23-4451-AB0E-BA407640D4D4}"/>
  </w:font>
  <w:font w:name="仿宋">
    <w:panose1 w:val="02010609060101010101"/>
    <w:charset w:val="86"/>
    <w:family w:val="modern"/>
    <w:pitch w:val="default"/>
    <w:sig w:usb0="800002BF" w:usb1="38CF7CFA" w:usb2="00000016" w:usb3="00000000" w:csb0="00040001" w:csb1="00000000"/>
    <w:embedRegular r:id="rId9" w:fontKey="{FA6D2B60-2437-4A36-931A-8453B2976E6C}"/>
  </w:font>
  <w:font w:name="方正仿宋_GB2312">
    <w:altName w:val="仿宋"/>
    <w:panose1 w:val="02000000000000000000"/>
    <w:charset w:val="86"/>
    <w:family w:val="auto"/>
    <w:pitch w:val="default"/>
    <w:sig w:usb0="00000000" w:usb1="00000000" w:usb2="00000012" w:usb3="00000000" w:csb0="00040001" w:csb1="00000000"/>
    <w:embedRegular r:id="rId10" w:fontKey="{8DB55976-0DEE-45A2-B84F-662EFBAF85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06CDF2">
                          <w:pPr>
                            <w:pStyle w:val="10"/>
                          </w:pPr>
                          <w:r>
                            <w:t xml:space="preserve">— </w:t>
                          </w:r>
                          <w:r>
                            <w:fldChar w:fldCharType="begin"/>
                          </w:r>
                          <w:r>
                            <w:instrText xml:space="preserve"> PAGE  \* MERGEFORMAT </w:instrText>
                          </w:r>
                          <w:r>
                            <w:fldChar w:fldCharType="separate"/>
                          </w:r>
                          <w:r>
                            <w:t>- 1 -</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Edhgz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KEdhgzAgAAYwQAAA4AAAAAAAAAAQAgAAAAHwEAAGRycy9lMm9Eb2MueG1sUEsF&#10;BgAAAAAGAAYAWQEAAMQFAAAAAA==&#10;">
              <v:fill on="f" focussize="0,0"/>
              <v:stroke on="f" weight="0.5pt"/>
              <v:imagedata o:title=""/>
              <o:lock v:ext="edit" aspectratio="f"/>
              <v:textbox inset="0mm,0mm,0mm,0mm" style="mso-fit-shape-to-text:t;">
                <w:txbxContent>
                  <w:p w14:paraId="4006CDF2">
                    <w:pPr>
                      <w:pStyle w:val="10"/>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F484B">
    <w:pPr>
      <w:pStyle w:val="10"/>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68A4B3">
                          <w:pPr>
                            <w:pStyle w:val="10"/>
                          </w:pPr>
                          <w:r>
                            <w:t xml:space="preserve">— </w:t>
                          </w:r>
                          <w:r>
                            <w:fldChar w:fldCharType="begin"/>
                          </w:r>
                          <w:r>
                            <w:instrText xml:space="preserve"> PAGE  \* MERGEFORMAT </w:instrText>
                          </w:r>
                          <w:r>
                            <w:fldChar w:fldCharType="separate"/>
                          </w:r>
                          <w:r>
                            <w:t>- 1 -</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14:paraId="7768A4B3">
                    <w:pPr>
                      <w:pStyle w:val="10"/>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B66CE">
    <w:pPr>
      <w:pStyle w:val="10"/>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F92219">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14:paraId="54F92219">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01D024"/>
    <w:multiLevelType w:val="singleLevel"/>
    <w:tmpl w:val="F701D024"/>
    <w:lvl w:ilvl="0" w:tentative="0">
      <w:start w:val="2"/>
      <w:numFmt w:val="chineseCounting"/>
      <w:suff w:val="nothing"/>
      <w:lvlText w:val="%1、"/>
      <w:lvlJc w:val="left"/>
      <w:rPr>
        <w:rFonts w:hint="eastAsia"/>
      </w:rPr>
    </w:lvl>
  </w:abstractNum>
  <w:abstractNum w:abstractNumId="1">
    <w:nsid w:val="56E160BE"/>
    <w:multiLevelType w:val="singleLevel"/>
    <w:tmpl w:val="56E160BE"/>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14882"/>
    <w:rsid w:val="022A6766"/>
    <w:rsid w:val="026E5FAB"/>
    <w:rsid w:val="02983D41"/>
    <w:rsid w:val="029E162E"/>
    <w:rsid w:val="029F2BC9"/>
    <w:rsid w:val="02A31129"/>
    <w:rsid w:val="02A46690"/>
    <w:rsid w:val="02AC508C"/>
    <w:rsid w:val="02BE075F"/>
    <w:rsid w:val="02BE15ED"/>
    <w:rsid w:val="02CF7A3A"/>
    <w:rsid w:val="02EE27C7"/>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3FF3E8D"/>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20610"/>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1C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56E91"/>
    <w:rsid w:val="072F6604"/>
    <w:rsid w:val="073836D3"/>
    <w:rsid w:val="073A0ECF"/>
    <w:rsid w:val="074267A8"/>
    <w:rsid w:val="07462294"/>
    <w:rsid w:val="074A7C93"/>
    <w:rsid w:val="074F1149"/>
    <w:rsid w:val="07632E46"/>
    <w:rsid w:val="07666E00"/>
    <w:rsid w:val="0768448B"/>
    <w:rsid w:val="07723470"/>
    <w:rsid w:val="07762B7A"/>
    <w:rsid w:val="077965A7"/>
    <w:rsid w:val="07832BA1"/>
    <w:rsid w:val="07972327"/>
    <w:rsid w:val="07A85930"/>
    <w:rsid w:val="07B408D7"/>
    <w:rsid w:val="07D63653"/>
    <w:rsid w:val="07EE56D8"/>
    <w:rsid w:val="07F65A68"/>
    <w:rsid w:val="07FC2953"/>
    <w:rsid w:val="081608A9"/>
    <w:rsid w:val="081A34BA"/>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5685D"/>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42BCD"/>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25145"/>
    <w:rsid w:val="0B040E20"/>
    <w:rsid w:val="0B0443BA"/>
    <w:rsid w:val="0B0A404A"/>
    <w:rsid w:val="0B0E131B"/>
    <w:rsid w:val="0B416906"/>
    <w:rsid w:val="0B5D1C2A"/>
    <w:rsid w:val="0B685C3C"/>
    <w:rsid w:val="0B6E022E"/>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D96A9E"/>
    <w:rsid w:val="0CF072F3"/>
    <w:rsid w:val="0D0271E7"/>
    <w:rsid w:val="0D1336AF"/>
    <w:rsid w:val="0D2466BD"/>
    <w:rsid w:val="0D3A1668"/>
    <w:rsid w:val="0D4E28CF"/>
    <w:rsid w:val="0D5A43A4"/>
    <w:rsid w:val="0D5C2246"/>
    <w:rsid w:val="0D5E3DDF"/>
    <w:rsid w:val="0D6A3C45"/>
    <w:rsid w:val="0D770EE0"/>
    <w:rsid w:val="0D793F5C"/>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05DC4"/>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CD62EF"/>
    <w:rsid w:val="12D06EB6"/>
    <w:rsid w:val="12D93FBD"/>
    <w:rsid w:val="12D9789E"/>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9F03D8"/>
    <w:rsid w:val="13CC1AF8"/>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741280"/>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0A8A"/>
    <w:rsid w:val="16932BF5"/>
    <w:rsid w:val="169528F0"/>
    <w:rsid w:val="16C724D4"/>
    <w:rsid w:val="16D411E7"/>
    <w:rsid w:val="16E3595E"/>
    <w:rsid w:val="16ED0036"/>
    <w:rsid w:val="170756D4"/>
    <w:rsid w:val="17090ED1"/>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C9356C"/>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8F6C0D"/>
    <w:rsid w:val="19A73D74"/>
    <w:rsid w:val="19AA5416"/>
    <w:rsid w:val="19C30D58"/>
    <w:rsid w:val="19CD1CDB"/>
    <w:rsid w:val="19CE7FF6"/>
    <w:rsid w:val="19D11E91"/>
    <w:rsid w:val="19D70C6D"/>
    <w:rsid w:val="19E2271F"/>
    <w:rsid w:val="1A075570"/>
    <w:rsid w:val="1A1C623A"/>
    <w:rsid w:val="1A270D5F"/>
    <w:rsid w:val="1A2C426A"/>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457140"/>
    <w:rsid w:val="1B652C95"/>
    <w:rsid w:val="1B70155F"/>
    <w:rsid w:val="1B723039"/>
    <w:rsid w:val="1B7700FA"/>
    <w:rsid w:val="1B894EBC"/>
    <w:rsid w:val="1B8C1172"/>
    <w:rsid w:val="1B9269B7"/>
    <w:rsid w:val="1BB12BB2"/>
    <w:rsid w:val="1BB50563"/>
    <w:rsid w:val="1BB81C4E"/>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811B8"/>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800C2"/>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081F"/>
    <w:rsid w:val="1F2354C8"/>
    <w:rsid w:val="1F2C3C4B"/>
    <w:rsid w:val="1F2E5B25"/>
    <w:rsid w:val="1F36160E"/>
    <w:rsid w:val="1F3F33F9"/>
    <w:rsid w:val="1F5D00BF"/>
    <w:rsid w:val="1F640255"/>
    <w:rsid w:val="1F671677"/>
    <w:rsid w:val="1F722047"/>
    <w:rsid w:val="1F8B3432"/>
    <w:rsid w:val="1F904945"/>
    <w:rsid w:val="1FA7625B"/>
    <w:rsid w:val="1FAA6A2E"/>
    <w:rsid w:val="1FB97650"/>
    <w:rsid w:val="1FBE07C2"/>
    <w:rsid w:val="1FC11059"/>
    <w:rsid w:val="1FC56FCF"/>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996297"/>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5E50F3"/>
    <w:rsid w:val="22603DB2"/>
    <w:rsid w:val="226D7B83"/>
    <w:rsid w:val="227D0ACA"/>
    <w:rsid w:val="2293123C"/>
    <w:rsid w:val="229E633A"/>
    <w:rsid w:val="22A570EC"/>
    <w:rsid w:val="22D569A0"/>
    <w:rsid w:val="22F70C2D"/>
    <w:rsid w:val="230F1167"/>
    <w:rsid w:val="23123721"/>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64757"/>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67FBB"/>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3D570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906DD9"/>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3539D"/>
    <w:rsid w:val="2A8F3B49"/>
    <w:rsid w:val="2A8F792B"/>
    <w:rsid w:val="2A9154D8"/>
    <w:rsid w:val="2AA04C57"/>
    <w:rsid w:val="2ACB46DB"/>
    <w:rsid w:val="2AD750C3"/>
    <w:rsid w:val="2AE77D08"/>
    <w:rsid w:val="2AEA3011"/>
    <w:rsid w:val="2AFA0B1C"/>
    <w:rsid w:val="2B252D72"/>
    <w:rsid w:val="2B323E4B"/>
    <w:rsid w:val="2B3E0375"/>
    <w:rsid w:val="2B4522CA"/>
    <w:rsid w:val="2B492499"/>
    <w:rsid w:val="2B652A8D"/>
    <w:rsid w:val="2B6C55DB"/>
    <w:rsid w:val="2B6F729F"/>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333E4"/>
    <w:rsid w:val="2D095409"/>
    <w:rsid w:val="2D0F6B01"/>
    <w:rsid w:val="2D121CDA"/>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916FC"/>
    <w:rsid w:val="2EAA3B87"/>
    <w:rsid w:val="2EB66E96"/>
    <w:rsid w:val="2EBC23A0"/>
    <w:rsid w:val="2EFA0191"/>
    <w:rsid w:val="2F3565C7"/>
    <w:rsid w:val="2F3E191F"/>
    <w:rsid w:val="2F436846"/>
    <w:rsid w:val="2F4556CE"/>
    <w:rsid w:val="2F6F3C93"/>
    <w:rsid w:val="2F754A27"/>
    <w:rsid w:val="2F7606D5"/>
    <w:rsid w:val="2F767465"/>
    <w:rsid w:val="2F8135BA"/>
    <w:rsid w:val="2FB1448A"/>
    <w:rsid w:val="2FC802AE"/>
    <w:rsid w:val="2FCC29AF"/>
    <w:rsid w:val="2FCC2A87"/>
    <w:rsid w:val="2FCF02DD"/>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8D41A0"/>
    <w:rsid w:val="3198056E"/>
    <w:rsid w:val="31A00DEF"/>
    <w:rsid w:val="31CD31BF"/>
    <w:rsid w:val="31D72AD0"/>
    <w:rsid w:val="31E10F55"/>
    <w:rsid w:val="31F664E1"/>
    <w:rsid w:val="31F77B64"/>
    <w:rsid w:val="31FE5396"/>
    <w:rsid w:val="320B7F80"/>
    <w:rsid w:val="3219008D"/>
    <w:rsid w:val="321D581C"/>
    <w:rsid w:val="32215B79"/>
    <w:rsid w:val="322241F2"/>
    <w:rsid w:val="3229379D"/>
    <w:rsid w:val="32294133"/>
    <w:rsid w:val="322D5AFA"/>
    <w:rsid w:val="323B0B09"/>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6107A"/>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D5373B"/>
    <w:rsid w:val="33ED39C2"/>
    <w:rsid w:val="33F627C9"/>
    <w:rsid w:val="3402309A"/>
    <w:rsid w:val="340F56DE"/>
    <w:rsid w:val="342235BE"/>
    <w:rsid w:val="3425597D"/>
    <w:rsid w:val="342804A8"/>
    <w:rsid w:val="342A5DF5"/>
    <w:rsid w:val="34331D5F"/>
    <w:rsid w:val="343819DA"/>
    <w:rsid w:val="344851FD"/>
    <w:rsid w:val="346A0AC1"/>
    <w:rsid w:val="34735BC7"/>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56E1E"/>
    <w:rsid w:val="3547266B"/>
    <w:rsid w:val="35496928"/>
    <w:rsid w:val="3554479E"/>
    <w:rsid w:val="35610116"/>
    <w:rsid w:val="357A3162"/>
    <w:rsid w:val="357D63E5"/>
    <w:rsid w:val="357E0BE0"/>
    <w:rsid w:val="357F00D0"/>
    <w:rsid w:val="35803742"/>
    <w:rsid w:val="35894506"/>
    <w:rsid w:val="35973B37"/>
    <w:rsid w:val="35A377DB"/>
    <w:rsid w:val="35CB3CA4"/>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C1DDA"/>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059A6"/>
    <w:rsid w:val="3A151290"/>
    <w:rsid w:val="3A157721"/>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64518"/>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3644E"/>
    <w:rsid w:val="3D3954D4"/>
    <w:rsid w:val="3D624A2B"/>
    <w:rsid w:val="3D7A2818"/>
    <w:rsid w:val="3D8106EA"/>
    <w:rsid w:val="3D834DF8"/>
    <w:rsid w:val="3D9077EA"/>
    <w:rsid w:val="3DA352B1"/>
    <w:rsid w:val="3DAE7C70"/>
    <w:rsid w:val="3DBA61E7"/>
    <w:rsid w:val="3DC12D0A"/>
    <w:rsid w:val="3DC14624"/>
    <w:rsid w:val="3DD55956"/>
    <w:rsid w:val="3DF334D1"/>
    <w:rsid w:val="3DFF4B6F"/>
    <w:rsid w:val="3E100FFC"/>
    <w:rsid w:val="3E175815"/>
    <w:rsid w:val="3E201534"/>
    <w:rsid w:val="3E3363C7"/>
    <w:rsid w:val="3E651EE9"/>
    <w:rsid w:val="3E784A78"/>
    <w:rsid w:val="3E787F4E"/>
    <w:rsid w:val="3E8554F5"/>
    <w:rsid w:val="3E8D171A"/>
    <w:rsid w:val="3E993D72"/>
    <w:rsid w:val="3EA10027"/>
    <w:rsid w:val="3EA16B7F"/>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36D45"/>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D644A0"/>
    <w:rsid w:val="42FA6BD0"/>
    <w:rsid w:val="42FB4E01"/>
    <w:rsid w:val="42FE2B48"/>
    <w:rsid w:val="4301585B"/>
    <w:rsid w:val="43016818"/>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519CD"/>
    <w:rsid w:val="43A90F98"/>
    <w:rsid w:val="43AB7C4E"/>
    <w:rsid w:val="43B753A5"/>
    <w:rsid w:val="43CC344B"/>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011AC8"/>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748B8"/>
    <w:rsid w:val="463A35BA"/>
    <w:rsid w:val="464078D3"/>
    <w:rsid w:val="464478D6"/>
    <w:rsid w:val="4658048C"/>
    <w:rsid w:val="46594972"/>
    <w:rsid w:val="466640DD"/>
    <w:rsid w:val="466C691A"/>
    <w:rsid w:val="46763AFA"/>
    <w:rsid w:val="46A86AC5"/>
    <w:rsid w:val="46AF0ACC"/>
    <w:rsid w:val="46B120F1"/>
    <w:rsid w:val="46B1257F"/>
    <w:rsid w:val="46BA7686"/>
    <w:rsid w:val="46C04C25"/>
    <w:rsid w:val="46CB3641"/>
    <w:rsid w:val="46CD2EA3"/>
    <w:rsid w:val="46E33C2A"/>
    <w:rsid w:val="46E76478"/>
    <w:rsid w:val="46EB5C2E"/>
    <w:rsid w:val="47044DA5"/>
    <w:rsid w:val="47177C71"/>
    <w:rsid w:val="47191F43"/>
    <w:rsid w:val="471B210D"/>
    <w:rsid w:val="47330BB1"/>
    <w:rsid w:val="47413903"/>
    <w:rsid w:val="474340E1"/>
    <w:rsid w:val="4754737E"/>
    <w:rsid w:val="47617870"/>
    <w:rsid w:val="476A7C7C"/>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A2A89"/>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04B7A"/>
    <w:rsid w:val="49757894"/>
    <w:rsid w:val="497E20AD"/>
    <w:rsid w:val="49820EB7"/>
    <w:rsid w:val="499416E9"/>
    <w:rsid w:val="49A308A5"/>
    <w:rsid w:val="49A63EAD"/>
    <w:rsid w:val="49B4166E"/>
    <w:rsid w:val="49BA2C9E"/>
    <w:rsid w:val="49BC3715"/>
    <w:rsid w:val="49C56A6D"/>
    <w:rsid w:val="49CC07F8"/>
    <w:rsid w:val="49D26E8C"/>
    <w:rsid w:val="49ED0155"/>
    <w:rsid w:val="49F72310"/>
    <w:rsid w:val="49F96717"/>
    <w:rsid w:val="49FD2EE4"/>
    <w:rsid w:val="49FE5ADB"/>
    <w:rsid w:val="4A0808DE"/>
    <w:rsid w:val="4A0B4FDE"/>
    <w:rsid w:val="4A15325D"/>
    <w:rsid w:val="4A1C51FA"/>
    <w:rsid w:val="4A2117CA"/>
    <w:rsid w:val="4A225C6E"/>
    <w:rsid w:val="4A2D1B99"/>
    <w:rsid w:val="4A343D11"/>
    <w:rsid w:val="4A413C1A"/>
    <w:rsid w:val="4A497D35"/>
    <w:rsid w:val="4A531EB2"/>
    <w:rsid w:val="4A612992"/>
    <w:rsid w:val="4A657908"/>
    <w:rsid w:val="4A696D93"/>
    <w:rsid w:val="4A8A37D8"/>
    <w:rsid w:val="4A8B4AB2"/>
    <w:rsid w:val="4AB16FF2"/>
    <w:rsid w:val="4AC26B09"/>
    <w:rsid w:val="4AD62E68"/>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CF2A76"/>
    <w:rsid w:val="4BD17814"/>
    <w:rsid w:val="4BDC5109"/>
    <w:rsid w:val="4BE84FA7"/>
    <w:rsid w:val="4BF70C92"/>
    <w:rsid w:val="4BFB5105"/>
    <w:rsid w:val="4BFD0513"/>
    <w:rsid w:val="4C005E77"/>
    <w:rsid w:val="4C1A02C6"/>
    <w:rsid w:val="4C1F59F2"/>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4015A"/>
    <w:rsid w:val="4E250E8C"/>
    <w:rsid w:val="4E273E87"/>
    <w:rsid w:val="4E347D1E"/>
    <w:rsid w:val="4E355E12"/>
    <w:rsid w:val="4E50159D"/>
    <w:rsid w:val="4E5A7AD3"/>
    <w:rsid w:val="4E5D7C3A"/>
    <w:rsid w:val="4E8D762E"/>
    <w:rsid w:val="4E9B1112"/>
    <w:rsid w:val="4EA06365"/>
    <w:rsid w:val="4EA8347A"/>
    <w:rsid w:val="4EAA651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B87821"/>
    <w:rsid w:val="4FCA5221"/>
    <w:rsid w:val="4FE63A53"/>
    <w:rsid w:val="4FED0FB9"/>
    <w:rsid w:val="4FF01E38"/>
    <w:rsid w:val="500A342C"/>
    <w:rsid w:val="502F5BB5"/>
    <w:rsid w:val="502F7384"/>
    <w:rsid w:val="50324731"/>
    <w:rsid w:val="50561719"/>
    <w:rsid w:val="5070169B"/>
    <w:rsid w:val="50704356"/>
    <w:rsid w:val="507410D2"/>
    <w:rsid w:val="507E1724"/>
    <w:rsid w:val="50A4392E"/>
    <w:rsid w:val="50A97681"/>
    <w:rsid w:val="50AE3B94"/>
    <w:rsid w:val="50AF7418"/>
    <w:rsid w:val="50BC289B"/>
    <w:rsid w:val="50BE4216"/>
    <w:rsid w:val="50BE7D72"/>
    <w:rsid w:val="50CA4969"/>
    <w:rsid w:val="50CD10A1"/>
    <w:rsid w:val="50CE5BA5"/>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A78CD"/>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94B65"/>
    <w:rsid w:val="53FA20B7"/>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618EB"/>
    <w:rsid w:val="54C92123"/>
    <w:rsid w:val="54D45DB6"/>
    <w:rsid w:val="55094F55"/>
    <w:rsid w:val="550E49C6"/>
    <w:rsid w:val="55124B31"/>
    <w:rsid w:val="55160C9A"/>
    <w:rsid w:val="55346855"/>
    <w:rsid w:val="559E0172"/>
    <w:rsid w:val="55A256E3"/>
    <w:rsid w:val="55A47D96"/>
    <w:rsid w:val="55A732F5"/>
    <w:rsid w:val="55C11EEE"/>
    <w:rsid w:val="55C94049"/>
    <w:rsid w:val="55DA287E"/>
    <w:rsid w:val="55DC05B3"/>
    <w:rsid w:val="55DD1819"/>
    <w:rsid w:val="55EC241B"/>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07A7A"/>
    <w:rsid w:val="58490869"/>
    <w:rsid w:val="585A2A77"/>
    <w:rsid w:val="585F1862"/>
    <w:rsid w:val="58620D26"/>
    <w:rsid w:val="58647B37"/>
    <w:rsid w:val="58694A68"/>
    <w:rsid w:val="586D00C3"/>
    <w:rsid w:val="58706FB1"/>
    <w:rsid w:val="587C5983"/>
    <w:rsid w:val="588F3D7B"/>
    <w:rsid w:val="58B42725"/>
    <w:rsid w:val="58C223CA"/>
    <w:rsid w:val="58D71614"/>
    <w:rsid w:val="58E8415E"/>
    <w:rsid w:val="58ED1995"/>
    <w:rsid w:val="58ED4BF9"/>
    <w:rsid w:val="58FB7E18"/>
    <w:rsid w:val="58FF1A45"/>
    <w:rsid w:val="591578E8"/>
    <w:rsid w:val="591C41D0"/>
    <w:rsid w:val="591C580B"/>
    <w:rsid w:val="5926497A"/>
    <w:rsid w:val="592A1893"/>
    <w:rsid w:val="593A27C1"/>
    <w:rsid w:val="593F3A1A"/>
    <w:rsid w:val="595D3E12"/>
    <w:rsid w:val="59801DC4"/>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51352"/>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32B55"/>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734935"/>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16370C"/>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72160"/>
    <w:rsid w:val="5F7D71F9"/>
    <w:rsid w:val="5F8420E2"/>
    <w:rsid w:val="5F8623A3"/>
    <w:rsid w:val="5F887220"/>
    <w:rsid w:val="5F8E59AC"/>
    <w:rsid w:val="5F9022AB"/>
    <w:rsid w:val="5FAA3356"/>
    <w:rsid w:val="5FB81E56"/>
    <w:rsid w:val="5FBC6BE7"/>
    <w:rsid w:val="5FC209CF"/>
    <w:rsid w:val="5FCB1BCC"/>
    <w:rsid w:val="5FD85FDC"/>
    <w:rsid w:val="5FEA2CB5"/>
    <w:rsid w:val="5FEB78D3"/>
    <w:rsid w:val="5FEC00EE"/>
    <w:rsid w:val="5FF252A6"/>
    <w:rsid w:val="600951D4"/>
    <w:rsid w:val="6010358A"/>
    <w:rsid w:val="60156960"/>
    <w:rsid w:val="601A25EF"/>
    <w:rsid w:val="60250EC1"/>
    <w:rsid w:val="60255718"/>
    <w:rsid w:val="602B2C70"/>
    <w:rsid w:val="60397415"/>
    <w:rsid w:val="603E7832"/>
    <w:rsid w:val="6044067F"/>
    <w:rsid w:val="606A75CF"/>
    <w:rsid w:val="60793AF7"/>
    <w:rsid w:val="608C055C"/>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67113"/>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D423E8"/>
    <w:rsid w:val="63E15DFA"/>
    <w:rsid w:val="63E631E1"/>
    <w:rsid w:val="63F66CE6"/>
    <w:rsid w:val="640E7E19"/>
    <w:rsid w:val="642503DD"/>
    <w:rsid w:val="64391DBD"/>
    <w:rsid w:val="64591E34"/>
    <w:rsid w:val="646421F1"/>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24CA9"/>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E225B5"/>
    <w:rsid w:val="66F8201A"/>
    <w:rsid w:val="67010561"/>
    <w:rsid w:val="671C5A04"/>
    <w:rsid w:val="6720245A"/>
    <w:rsid w:val="6739092B"/>
    <w:rsid w:val="673F01D2"/>
    <w:rsid w:val="67670D0C"/>
    <w:rsid w:val="676777C3"/>
    <w:rsid w:val="677D4B8A"/>
    <w:rsid w:val="67802ACE"/>
    <w:rsid w:val="67804B33"/>
    <w:rsid w:val="67A755AC"/>
    <w:rsid w:val="67C14355"/>
    <w:rsid w:val="67C40A09"/>
    <w:rsid w:val="67D020A7"/>
    <w:rsid w:val="67D600B8"/>
    <w:rsid w:val="67E4087E"/>
    <w:rsid w:val="67EC2FBF"/>
    <w:rsid w:val="68060D49"/>
    <w:rsid w:val="680B1B92"/>
    <w:rsid w:val="68126B78"/>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11BCD"/>
    <w:rsid w:val="6A734205"/>
    <w:rsid w:val="6A804B8C"/>
    <w:rsid w:val="6A8F1913"/>
    <w:rsid w:val="6A995680"/>
    <w:rsid w:val="6ABC3292"/>
    <w:rsid w:val="6AC04F0B"/>
    <w:rsid w:val="6AD00976"/>
    <w:rsid w:val="6AD34458"/>
    <w:rsid w:val="6AD77F57"/>
    <w:rsid w:val="6ADC4801"/>
    <w:rsid w:val="6ADF25FC"/>
    <w:rsid w:val="6AE91FDC"/>
    <w:rsid w:val="6AEF704E"/>
    <w:rsid w:val="6AF01018"/>
    <w:rsid w:val="6AF97ECD"/>
    <w:rsid w:val="6B020CD0"/>
    <w:rsid w:val="6B1148AC"/>
    <w:rsid w:val="6B27444D"/>
    <w:rsid w:val="6B39255A"/>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EE1691"/>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2020E"/>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472DE"/>
    <w:rsid w:val="6F653C3E"/>
    <w:rsid w:val="6F65489B"/>
    <w:rsid w:val="6F675D4D"/>
    <w:rsid w:val="6F7E3097"/>
    <w:rsid w:val="6F86274A"/>
    <w:rsid w:val="6F8A6B50"/>
    <w:rsid w:val="6F986715"/>
    <w:rsid w:val="6F9C3249"/>
    <w:rsid w:val="6F9E4E98"/>
    <w:rsid w:val="6FAD1286"/>
    <w:rsid w:val="6FAD525F"/>
    <w:rsid w:val="6FB536E7"/>
    <w:rsid w:val="6FC169C6"/>
    <w:rsid w:val="6FD20CED"/>
    <w:rsid w:val="6FE23626"/>
    <w:rsid w:val="6FEB7EFB"/>
    <w:rsid w:val="6FF75ECB"/>
    <w:rsid w:val="700148B1"/>
    <w:rsid w:val="700708F2"/>
    <w:rsid w:val="70262445"/>
    <w:rsid w:val="702D1B8A"/>
    <w:rsid w:val="7054057E"/>
    <w:rsid w:val="7072258D"/>
    <w:rsid w:val="70796EB7"/>
    <w:rsid w:val="70846EFD"/>
    <w:rsid w:val="70891E2B"/>
    <w:rsid w:val="709304FC"/>
    <w:rsid w:val="70AE27E3"/>
    <w:rsid w:val="70B01FBB"/>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45E0F"/>
    <w:rsid w:val="71AA4E1C"/>
    <w:rsid w:val="71E13469"/>
    <w:rsid w:val="72005730"/>
    <w:rsid w:val="7227695C"/>
    <w:rsid w:val="72280301"/>
    <w:rsid w:val="7231753D"/>
    <w:rsid w:val="72386C6E"/>
    <w:rsid w:val="723A3057"/>
    <w:rsid w:val="72400885"/>
    <w:rsid w:val="724B6026"/>
    <w:rsid w:val="725273EA"/>
    <w:rsid w:val="725B1897"/>
    <w:rsid w:val="72603689"/>
    <w:rsid w:val="726943F3"/>
    <w:rsid w:val="726C47BC"/>
    <w:rsid w:val="726C5429"/>
    <w:rsid w:val="727442DD"/>
    <w:rsid w:val="72771726"/>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828DD"/>
    <w:rsid w:val="73FA4A43"/>
    <w:rsid w:val="74000D97"/>
    <w:rsid w:val="74185CCF"/>
    <w:rsid w:val="741D2E7E"/>
    <w:rsid w:val="741E1A0A"/>
    <w:rsid w:val="74257F85"/>
    <w:rsid w:val="74285E1F"/>
    <w:rsid w:val="742A10F7"/>
    <w:rsid w:val="74377094"/>
    <w:rsid w:val="746565D3"/>
    <w:rsid w:val="74694C3B"/>
    <w:rsid w:val="746A6AAD"/>
    <w:rsid w:val="746E74A8"/>
    <w:rsid w:val="747A4FBC"/>
    <w:rsid w:val="7487654A"/>
    <w:rsid w:val="748B466B"/>
    <w:rsid w:val="749018A2"/>
    <w:rsid w:val="74987BF9"/>
    <w:rsid w:val="74BB1F12"/>
    <w:rsid w:val="74C374EF"/>
    <w:rsid w:val="74C72A2B"/>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263E3D"/>
    <w:rsid w:val="76365AD0"/>
    <w:rsid w:val="764E6F43"/>
    <w:rsid w:val="765D57EA"/>
    <w:rsid w:val="766F7295"/>
    <w:rsid w:val="7688585F"/>
    <w:rsid w:val="769211D6"/>
    <w:rsid w:val="76943AE5"/>
    <w:rsid w:val="769B008A"/>
    <w:rsid w:val="76A2766B"/>
    <w:rsid w:val="76E97048"/>
    <w:rsid w:val="76F54CF0"/>
    <w:rsid w:val="76FD5906"/>
    <w:rsid w:val="77072866"/>
    <w:rsid w:val="770B684E"/>
    <w:rsid w:val="770E6AAE"/>
    <w:rsid w:val="771D50F3"/>
    <w:rsid w:val="771F6F0D"/>
    <w:rsid w:val="77204CB1"/>
    <w:rsid w:val="77356662"/>
    <w:rsid w:val="774808B4"/>
    <w:rsid w:val="775F421B"/>
    <w:rsid w:val="776668EA"/>
    <w:rsid w:val="777C1603"/>
    <w:rsid w:val="777D1E86"/>
    <w:rsid w:val="77814A03"/>
    <w:rsid w:val="77A14CDE"/>
    <w:rsid w:val="77AA2F7D"/>
    <w:rsid w:val="77B9334E"/>
    <w:rsid w:val="77BE04D4"/>
    <w:rsid w:val="77C96BD3"/>
    <w:rsid w:val="77D17C4B"/>
    <w:rsid w:val="77E616E5"/>
    <w:rsid w:val="77F263D0"/>
    <w:rsid w:val="77FA34D6"/>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8DE64BC"/>
    <w:rsid w:val="79053EE1"/>
    <w:rsid w:val="792A05F0"/>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0E3521"/>
    <w:rsid w:val="7B2014A6"/>
    <w:rsid w:val="7B4C2104"/>
    <w:rsid w:val="7B6273C9"/>
    <w:rsid w:val="7B6A44CF"/>
    <w:rsid w:val="7B6F1BD0"/>
    <w:rsid w:val="7B732126"/>
    <w:rsid w:val="7B755C15"/>
    <w:rsid w:val="7B7B20CE"/>
    <w:rsid w:val="7B8E1216"/>
    <w:rsid w:val="7B9A1345"/>
    <w:rsid w:val="7BA45FAB"/>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8C4EC5"/>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64BEF"/>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List"/>
    <w:basedOn w:val="1"/>
    <w:qFormat/>
    <w:uiPriority w:val="0"/>
    <w:pPr>
      <w:ind w:left="200" w:hanging="200" w:hangingChars="200"/>
    </w:pPr>
    <w:rPr>
      <w:rFonts w:ascii="Times New Roman" w:hAnsi="Times New Roman"/>
      <w:sz w:val="28"/>
      <w:szCs w:val="24"/>
    </w:r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4"/>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rFonts w:cs="Times New Roman"/>
      <w:color w:val="0000FF"/>
      <w:u w:val="single"/>
    </w:r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1"/>
    <w:qFormat/>
    <w:uiPriority w:val="0"/>
    <w:rPr>
      <w:rFonts w:ascii="Calibri" w:hAnsi="Calibri" w:cs="Calibri"/>
      <w:color w:val="000000"/>
      <w:sz w:val="21"/>
      <w:szCs w:val="21"/>
      <w:u w:val="none"/>
    </w:rPr>
  </w:style>
  <w:style w:type="character" w:customStyle="1" w:styleId="29">
    <w:name w:val="font21"/>
    <w:basedOn w:val="21"/>
    <w:qFormat/>
    <w:uiPriority w:val="0"/>
    <w:rPr>
      <w:rFonts w:hint="eastAsia" w:ascii="宋体" w:hAnsi="宋体" w:eastAsia="宋体" w:cs="宋体"/>
      <w:color w:val="000000"/>
      <w:sz w:val="21"/>
      <w:szCs w:val="21"/>
      <w:u w:val="none"/>
    </w:rPr>
  </w:style>
  <w:style w:type="character" w:customStyle="1" w:styleId="30">
    <w:name w:val="font01"/>
    <w:basedOn w:val="21"/>
    <w:qFormat/>
    <w:uiPriority w:val="0"/>
    <w:rPr>
      <w:rFonts w:ascii="Calibri" w:hAnsi="Calibri" w:cs="Calibri"/>
      <w:color w:val="000000"/>
      <w:sz w:val="21"/>
      <w:szCs w:val="21"/>
      <w:u w:val="none"/>
    </w:rPr>
  </w:style>
  <w:style w:type="character" w:customStyle="1" w:styleId="31">
    <w:name w:val="font31"/>
    <w:basedOn w:val="21"/>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TOC 3"/>
    <w:basedOn w:val="1"/>
    <w:next w:val="1"/>
    <w:qFormat/>
    <w:uiPriority w:val="39"/>
    <w:pPr>
      <w:ind w:left="840" w:leftChars="400"/>
    </w:pPr>
  </w:style>
  <w:style w:type="character" w:customStyle="1" w:styleId="36">
    <w:name w:val="font141"/>
    <w:basedOn w:val="21"/>
    <w:qFormat/>
    <w:uiPriority w:val="0"/>
    <w:rPr>
      <w:rFonts w:hint="eastAsia" w:ascii="微软雅黑" w:hAnsi="微软雅黑" w:eastAsia="微软雅黑" w:cs="微软雅黑"/>
      <w:color w:val="FF0000"/>
      <w:sz w:val="18"/>
      <w:szCs w:val="18"/>
      <w:u w:val="none"/>
    </w:rPr>
  </w:style>
  <w:style w:type="character" w:customStyle="1" w:styleId="37">
    <w:name w:val="font61"/>
    <w:basedOn w:val="21"/>
    <w:qFormat/>
    <w:uiPriority w:val="0"/>
    <w:rPr>
      <w:rFonts w:hint="eastAsia" w:ascii="微软雅黑" w:hAnsi="微软雅黑" w:eastAsia="微软雅黑" w:cs="微软雅黑"/>
      <w:color w:val="000000"/>
      <w:sz w:val="18"/>
      <w:szCs w:val="18"/>
      <w:u w:val="none"/>
    </w:rPr>
  </w:style>
  <w:style w:type="character" w:customStyle="1" w:styleId="38">
    <w:name w:val="font81"/>
    <w:basedOn w:val="21"/>
    <w:qFormat/>
    <w:uiPriority w:val="0"/>
    <w:rPr>
      <w:rFonts w:hint="eastAsia" w:ascii="微软雅黑" w:hAnsi="微软雅黑" w:eastAsia="微软雅黑" w:cs="微软雅黑"/>
      <w:color w:val="000000"/>
      <w:sz w:val="18"/>
      <w:szCs w:val="18"/>
      <w:u w:val="none"/>
    </w:rPr>
  </w:style>
  <w:style w:type="character" w:customStyle="1" w:styleId="39">
    <w:name w:val="font51"/>
    <w:basedOn w:val="21"/>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408</Words>
  <Characters>836</Characters>
  <Lines>0</Lines>
  <Paragraphs>0</Paragraphs>
  <TotalTime>0</TotalTime>
  <ScaleCrop>false</ScaleCrop>
  <LinksUpToDate>false</LinksUpToDate>
  <CharactersWithSpaces>857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2025-08-19T07:38:00Z</cp:lastPrinted>
  <dcterms:modified xsi:type="dcterms:W3CDTF">2025-08-19T08:23:17Z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177FA94C2B424A7F8ECA8846FE60F0C9_13</vt:lpwstr>
  </property>
  <property fmtid="{D5CDD505-2E9C-101B-9397-08002B2CF9AE}" pid="4" name="KSOTemplateDocerSaveRecord">
    <vt:lpwstr>eyJoZGlkIjoiMDNjZWFmOTI0OWU0M2E3ZjRhODE1MDBhNDIyZDU3OWMiLCJ1c2VySWQiOiIxMzg0NDY3MDM0In0=</vt:lpwstr>
  </property>
</Properties>
</file>